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E4" w:rsidRPr="006C79E4" w:rsidRDefault="00A93F81" w:rsidP="005242C3">
      <w:pPr>
        <w:pStyle w:val="Heading2"/>
        <w:rPr>
          <w:lang w:val="it-IT"/>
        </w:rPr>
      </w:pPr>
      <w:r>
        <w:rPr>
          <w:lang w:val="it-IT"/>
        </w:rPr>
        <w:t>17</w:t>
      </w:r>
      <w:r w:rsidR="00244A8D" w:rsidRPr="00244A8D">
        <w:rPr>
          <w:vertAlign w:val="superscript"/>
          <w:lang w:val="it-IT"/>
        </w:rPr>
        <w:t xml:space="preserve">TH </w:t>
      </w:r>
      <w:r>
        <w:rPr>
          <w:lang w:val="it-IT"/>
        </w:rPr>
        <w:t>CENTURY</w:t>
      </w:r>
      <w:r w:rsidR="005242C3" w:rsidRPr="005242C3">
        <w:rPr>
          <w:lang w:val="it-IT"/>
        </w:rPr>
        <w:t>:</w:t>
      </w:r>
      <w:r w:rsidR="009115E3">
        <w:rPr>
          <w:lang w:val="it-IT"/>
        </w:rPr>
        <w:t xml:space="preserve"> </w:t>
      </w:r>
      <w:r w:rsidR="005242C3" w:rsidRPr="005242C3">
        <w:rPr>
          <w:lang w:val="it-IT"/>
        </w:rPr>
        <w:t>GERMINI</w:t>
      </w:r>
      <w:r w:rsidR="00B64B79">
        <w:rPr>
          <w:lang w:val="it-IT"/>
        </w:rPr>
        <w:t>,</w:t>
      </w:r>
      <w:r w:rsidR="005242C3" w:rsidRPr="005242C3">
        <w:rPr>
          <w:lang w:val="it-IT"/>
        </w:rPr>
        <w:t xml:space="preserve"> TAROCCHI</w:t>
      </w:r>
      <w:r w:rsidR="00B64B79">
        <w:rPr>
          <w:lang w:val="it-IT"/>
        </w:rPr>
        <w:t>,</w:t>
      </w:r>
      <w:r w:rsidR="005242C3" w:rsidRPr="005242C3">
        <w:rPr>
          <w:lang w:val="it-IT"/>
        </w:rPr>
        <w:t xml:space="preserve"> MINCHIATE</w:t>
      </w:r>
    </w:p>
    <w:p w:rsidR="005242C3" w:rsidRPr="006C79E4" w:rsidRDefault="006C79E4" w:rsidP="005242C3">
      <w:pPr>
        <w:pStyle w:val="Heading2"/>
        <w:rPr>
          <w:b w:val="0"/>
          <w:lang w:val="it-IT"/>
        </w:rPr>
      </w:pPr>
      <w:r w:rsidRPr="006C79E4">
        <w:rPr>
          <w:b w:val="0"/>
          <w:lang w:val="it-IT"/>
        </w:rPr>
        <w:t>Franco Pratesi, 14</w:t>
      </w:r>
      <w:r w:rsidR="005242C3" w:rsidRPr="006C79E4">
        <w:rPr>
          <w:b w:val="0"/>
          <w:lang w:val="it-IT"/>
        </w:rPr>
        <w:t>.05.2013</w:t>
      </w:r>
    </w:p>
    <w:p w:rsidR="005242C3" w:rsidRPr="006C79E4" w:rsidRDefault="005242C3" w:rsidP="005242C3">
      <w:pPr>
        <w:pStyle w:val="Heading2"/>
        <w:rPr>
          <w:lang w:val="it-IT"/>
        </w:rPr>
      </w:pPr>
    </w:p>
    <w:p w:rsidR="005242C3" w:rsidRPr="00F77F63" w:rsidRDefault="005242C3" w:rsidP="005242C3">
      <w:pPr>
        <w:pStyle w:val="Heading2"/>
      </w:pPr>
      <w:r w:rsidRPr="00F77F63">
        <w:t>Introduction</w:t>
      </w:r>
    </w:p>
    <w:p w:rsidR="005242C3" w:rsidRPr="00F77F63" w:rsidRDefault="005242C3" w:rsidP="00085D5B">
      <w:pPr>
        <w:pStyle w:val="Heading2"/>
      </w:pPr>
    </w:p>
    <w:p w:rsidR="00A93F81" w:rsidRDefault="00A93F81" w:rsidP="000152F6">
      <w:r>
        <w:t xml:space="preserve">The title already indicates what is the object of this note. Without </w:t>
      </w:r>
      <w:r w:rsidR="009115E3">
        <w:t xml:space="preserve">even </w:t>
      </w:r>
      <w:r>
        <w:t xml:space="preserve">mentioning it, the same title </w:t>
      </w:r>
      <w:r w:rsidR="009115E3">
        <w:t>also</w:t>
      </w:r>
      <w:r>
        <w:t xml:space="preserve"> indicat</w:t>
      </w:r>
      <w:r w:rsidR="009115E3">
        <w:t xml:space="preserve">es where the action takes place </w:t>
      </w:r>
      <w:r w:rsidR="009115E3">
        <w:rPr>
          <w:rFonts w:cs="Times New Roman"/>
        </w:rPr>
        <w:t>−</w:t>
      </w:r>
      <w:r>
        <w:t xml:space="preserve"> obviously in Florence, if </w:t>
      </w:r>
      <w:r w:rsidR="001F7D58">
        <w:t xml:space="preserve">one pays some attention to </w:t>
      </w:r>
      <w:r>
        <w:t xml:space="preserve">the special cards mentioned. </w:t>
      </w:r>
      <w:r w:rsidR="009115E3">
        <w:t>W</w:t>
      </w:r>
      <w:r>
        <w:t>hen the events occur</w:t>
      </w:r>
      <w:r w:rsidR="009115E3">
        <w:t>red will instead require a better definition below</w:t>
      </w:r>
      <w:r>
        <w:t>, because the 17</w:t>
      </w:r>
      <w:r w:rsidRPr="00A93F81">
        <w:rPr>
          <w:vertAlign w:val="superscript"/>
        </w:rPr>
        <w:t>th</w:t>
      </w:r>
      <w:r w:rsidR="001F7D58">
        <w:t xml:space="preserve"> century</w:t>
      </w:r>
      <w:r>
        <w:t xml:space="preserve"> </w:t>
      </w:r>
      <w:r w:rsidR="001F7D58">
        <w:t>is not involved as a</w:t>
      </w:r>
      <w:r w:rsidR="001F7D58" w:rsidRPr="001F7D58">
        <w:t xml:space="preserve"> </w:t>
      </w:r>
      <w:r w:rsidR="001F7D58">
        <w:t>whole.</w:t>
      </w:r>
    </w:p>
    <w:p w:rsidR="000152F6" w:rsidRDefault="00A93F81" w:rsidP="000152F6">
      <w:r>
        <w:t>Some explanation can also be added about why I am now discussing this topic: a</w:t>
      </w:r>
      <w:r w:rsidR="000152F6">
        <w:t xml:space="preserve"> connection may </w:t>
      </w:r>
      <w:r>
        <w:t xml:space="preserve">actually </w:t>
      </w:r>
      <w:r w:rsidR="000152F6">
        <w:t>be found between this note and</w:t>
      </w:r>
      <w:r w:rsidR="000152F6" w:rsidRPr="000152F6">
        <w:t xml:space="preserve"> a </w:t>
      </w:r>
      <w:r w:rsidR="000152F6">
        <w:t>recent</w:t>
      </w:r>
      <w:r w:rsidR="000152F6" w:rsidRPr="000152F6">
        <w:t xml:space="preserve"> study</w:t>
      </w:r>
      <w:r w:rsidR="000152F6">
        <w:t xml:space="preserve"> on the exports of Minchiate </w:t>
      </w:r>
      <w:r w:rsidR="00271294">
        <w:t>from Florence</w:t>
      </w:r>
      <w:r w:rsidR="009115E3">
        <w:t>,</w:t>
      </w:r>
      <w:r w:rsidR="00271294">
        <w:t xml:space="preserve"> </w:t>
      </w:r>
      <w:r w:rsidR="000152F6">
        <w:t xml:space="preserve">in the </w:t>
      </w:r>
      <w:r>
        <w:t>following</w:t>
      </w:r>
      <w:r w:rsidR="000152F6">
        <w:t xml:space="preserve"> century.</w:t>
      </w:r>
      <w:r w:rsidR="00CB135D">
        <w:t xml:space="preserve"> (1)</w:t>
      </w:r>
      <w:r w:rsidR="000152F6">
        <w:t xml:space="preserve"> From that information it is easy to deduce that a real vogue of Minchiate was flourishing </w:t>
      </w:r>
      <w:r>
        <w:t xml:space="preserve">by then </w:t>
      </w:r>
      <w:r w:rsidR="000152F6">
        <w:t>in Rome and i</w:t>
      </w:r>
      <w:r w:rsidR="001F7D58">
        <w:t>n most European capital towns; moreover, t</w:t>
      </w:r>
      <w:r w:rsidR="000152F6">
        <w:t xml:space="preserve">he destination of </w:t>
      </w:r>
      <w:r w:rsidR="00271294">
        <w:t>several</w:t>
      </w:r>
      <w:r w:rsidR="000152F6">
        <w:t xml:space="preserve"> deliveries of Florentine Minchiate could be associated with small territories, kept by noble</w:t>
      </w:r>
      <w:r w:rsidR="006C79E4">
        <w:t xml:space="preserve"> landlords</w:t>
      </w:r>
      <w:r w:rsidR="000152F6">
        <w:t>.</w:t>
      </w:r>
      <w:r>
        <w:t xml:space="preserve"> </w:t>
      </w:r>
      <w:r w:rsidR="000152F6">
        <w:t>It appears in conclusion that that vogue did not particularly correspond to a mass pastime, but was limited to the upper classes.</w:t>
      </w:r>
    </w:p>
    <w:p w:rsidR="000152F6" w:rsidRDefault="000152F6" w:rsidP="000152F6">
      <w:r>
        <w:t xml:space="preserve">We would like to better know the actual situation in Florence itself, where the game was born and </w:t>
      </w:r>
      <w:r w:rsidR="009115E3">
        <w:t>has been</w:t>
      </w:r>
      <w:r>
        <w:t xml:space="preserve"> enjoyed for four centuries. </w:t>
      </w:r>
      <w:r w:rsidR="00271294">
        <w:t>Here we</w:t>
      </w:r>
      <w:r>
        <w:t xml:space="preserve"> examine two local l</w:t>
      </w:r>
      <w:r w:rsidR="00271294">
        <w:t xml:space="preserve">aws from the </w:t>
      </w:r>
      <w:r w:rsidR="009115E3">
        <w:t>17th</w:t>
      </w:r>
      <w:r w:rsidR="00271294">
        <w:t xml:space="preserve"> century: t</w:t>
      </w:r>
      <w:r>
        <w:t xml:space="preserve">he former belongs to </w:t>
      </w:r>
      <w:r w:rsidR="009115E3">
        <w:t>its</w:t>
      </w:r>
      <w:r>
        <w:t xml:space="preserve"> beginning, the latter to </w:t>
      </w:r>
      <w:r w:rsidR="00A93F81">
        <w:t>its</w:t>
      </w:r>
      <w:r>
        <w:t xml:space="preserve"> end. We can thus obtain an idea of the </w:t>
      </w:r>
      <w:r w:rsidR="00271294">
        <w:t xml:space="preserve">local </w:t>
      </w:r>
      <w:r>
        <w:t>popularity of the game in the 17</w:t>
      </w:r>
      <w:r w:rsidRPr="000152F6">
        <w:rPr>
          <w:vertAlign w:val="superscript"/>
        </w:rPr>
        <w:t>th</w:t>
      </w:r>
      <w:r>
        <w:t xml:space="preserve"> century, before any international spread of the Minchiate vogue.</w:t>
      </w:r>
    </w:p>
    <w:p w:rsidR="000152F6" w:rsidRDefault="000152F6" w:rsidP="000152F6"/>
    <w:p w:rsidR="000152F6" w:rsidRPr="00673729" w:rsidRDefault="00672AFA" w:rsidP="000152F6">
      <w:pPr>
        <w:pStyle w:val="Heading2"/>
        <w:rPr>
          <w:lang w:val="it-IT"/>
        </w:rPr>
      </w:pPr>
      <w:r w:rsidRPr="00673729">
        <w:rPr>
          <w:rFonts w:cs="Times New Roman"/>
          <w:lang w:val="it-IT"/>
        </w:rPr>
        <w:t xml:space="preserve">1. </w:t>
      </w:r>
      <w:r w:rsidR="00DD0A24" w:rsidRPr="00673729">
        <w:rPr>
          <w:rFonts w:cs="Times New Roman"/>
          <w:lang w:val="it-IT"/>
        </w:rPr>
        <w:t>1606 −</w:t>
      </w:r>
      <w:r w:rsidR="00DD0A24" w:rsidRPr="00673729">
        <w:rPr>
          <w:lang w:val="it-IT"/>
        </w:rPr>
        <w:t xml:space="preserve"> </w:t>
      </w:r>
      <w:r w:rsidR="00673729" w:rsidRPr="00673729">
        <w:rPr>
          <w:lang w:val="it-IT"/>
        </w:rPr>
        <w:t>In Orto di</w:t>
      </w:r>
      <w:r w:rsidR="000152F6" w:rsidRPr="00673729">
        <w:rPr>
          <w:lang w:val="it-IT"/>
        </w:rPr>
        <w:t xml:space="preserve"> Santa Maria Nuova</w:t>
      </w:r>
    </w:p>
    <w:p w:rsidR="000152F6" w:rsidRPr="00673729" w:rsidRDefault="000152F6" w:rsidP="000152F6">
      <w:pPr>
        <w:rPr>
          <w:lang w:val="it-IT"/>
        </w:rPr>
      </w:pPr>
    </w:p>
    <w:p w:rsidR="003879A4" w:rsidRDefault="003879A4" w:rsidP="000152F6">
      <w:r>
        <w:t xml:space="preserve">The law under examination is present in a section of the </w:t>
      </w:r>
      <w:r w:rsidR="00244A8D">
        <w:t>ASFI</w:t>
      </w:r>
      <w:r>
        <w:t>.</w:t>
      </w:r>
      <w:r w:rsidR="00CB135D">
        <w:t xml:space="preserve"> (2)</w:t>
      </w:r>
      <w:r>
        <w:t xml:space="preserve"> However, the same text, with only some minor variations in the spelling of a few words, is present in </w:t>
      </w:r>
      <w:r w:rsidR="009115E3">
        <w:t>a</w:t>
      </w:r>
      <w:r>
        <w:t xml:space="preserve"> </w:t>
      </w:r>
      <w:r w:rsidR="009115E3">
        <w:t>well-</w:t>
      </w:r>
      <w:r>
        <w:t xml:space="preserve">known </w:t>
      </w:r>
      <w:r w:rsidR="009115E3">
        <w:t>publication</w:t>
      </w:r>
      <w:r>
        <w:t xml:space="preserve"> of the Florentine laws.</w:t>
      </w:r>
      <w:r w:rsidR="00CB135D">
        <w:t xml:space="preserve"> (3)</w:t>
      </w:r>
    </w:p>
    <w:p w:rsidR="000152F6" w:rsidRDefault="000152F6" w:rsidP="000152F6">
      <w:r>
        <w:t xml:space="preserve">The </w:t>
      </w:r>
      <w:r w:rsidR="009115E3">
        <w:t xml:space="preserve">Hospital of </w:t>
      </w:r>
      <w:r>
        <w:t xml:space="preserve">Santa Maria </w:t>
      </w:r>
      <w:proofErr w:type="spellStart"/>
      <w:r>
        <w:t>Nuova</w:t>
      </w:r>
      <w:proofErr w:type="spellEnd"/>
      <w:r>
        <w:t xml:space="preserve"> is still active as such in the centre of Florence; rather it is indeed the only ancient hospital that has remained </w:t>
      </w:r>
      <w:r w:rsidR="009115E3">
        <w:t xml:space="preserve">active </w:t>
      </w:r>
      <w:r>
        <w:t xml:space="preserve">in its original place within the town. Information on its long history is easy to find, because it is associated with significant developments </w:t>
      </w:r>
      <w:r w:rsidR="00673729">
        <w:t>in</w:t>
      </w:r>
      <w:r>
        <w:t xml:space="preserve"> the history of </w:t>
      </w:r>
      <w:r w:rsidR="00673729">
        <w:t xml:space="preserve">both medicine and </w:t>
      </w:r>
      <w:r>
        <w:t>fine arts.</w:t>
      </w:r>
    </w:p>
    <w:p w:rsidR="000152F6" w:rsidRDefault="000152F6" w:rsidP="000152F6">
      <w:r>
        <w:t xml:space="preserve">Unknown to me is its </w:t>
      </w:r>
      <w:proofErr w:type="spellStart"/>
      <w:r>
        <w:t>Orto</w:t>
      </w:r>
      <w:proofErr w:type="spellEnd"/>
      <w:r>
        <w:t xml:space="preserve">, or vegetable garden. At present, any garden in that location </w:t>
      </w:r>
      <w:r w:rsidR="001F7D58">
        <w:t xml:space="preserve">should </w:t>
      </w:r>
      <w:r>
        <w:t xml:space="preserve">be very small, after the several wings and secondary buildings that </w:t>
      </w:r>
      <w:r w:rsidR="001F7D58">
        <w:t>have been added in the meantime; w</w:t>
      </w:r>
      <w:r>
        <w:t>e can easily imagine however that in the beginning of the 17</w:t>
      </w:r>
      <w:r w:rsidRPr="000152F6">
        <w:rPr>
          <w:vertAlign w:val="superscript"/>
        </w:rPr>
        <w:t>th</w:t>
      </w:r>
      <w:r>
        <w:t xml:space="preserve"> century there was still </w:t>
      </w:r>
      <w:r w:rsidR="001F7D58">
        <w:t xml:space="preserve">free </w:t>
      </w:r>
      <w:r>
        <w:t>space enough around the Hospital.</w:t>
      </w:r>
    </w:p>
    <w:p w:rsidR="000152F6" w:rsidRDefault="000152F6" w:rsidP="000152F6">
      <w:r>
        <w:t>Whichever the real dimension and shape of that garden, we learn from t</w:t>
      </w:r>
      <w:r w:rsidR="001F7D58">
        <w:t>he law under examination that</w:t>
      </w:r>
      <w:r>
        <w:t xml:space="preserve"> </w:t>
      </w:r>
      <w:r w:rsidR="001F7D58">
        <w:t>playing</w:t>
      </w:r>
      <w:r w:rsidR="009115E3">
        <w:t xml:space="preserve"> </w:t>
      </w:r>
      <w:r w:rsidR="001F7D58">
        <w:t xml:space="preserve">several games </w:t>
      </w:r>
      <w:r>
        <w:t xml:space="preserve">was allowed there. Not only, there was also an </w:t>
      </w:r>
      <w:proofErr w:type="spellStart"/>
      <w:r>
        <w:t>Ortolano</w:t>
      </w:r>
      <w:proofErr w:type="spellEnd"/>
      <w:r w:rsidR="0099099A">
        <w:t xml:space="preserve">: the name </w:t>
      </w:r>
      <w:r w:rsidR="008E7270">
        <w:t>should</w:t>
      </w:r>
      <w:r w:rsidR="0099099A">
        <w:t xml:space="preserve"> verbatim corresponds to a gardener, but his function was clearly that of manager of the playing area.</w:t>
      </w:r>
    </w:p>
    <w:p w:rsidR="0099099A" w:rsidRDefault="0099099A" w:rsidP="000152F6">
      <w:r>
        <w:t xml:space="preserve">We have thus </w:t>
      </w:r>
      <w:r w:rsidR="00EE6A05">
        <w:t>several</w:t>
      </w:r>
      <w:r>
        <w:t xml:space="preserve"> positive elements for understanding that some games could be allowed there: the place was open to the public, </w:t>
      </w:r>
      <w:r w:rsidR="00EE6A05">
        <w:t xml:space="preserve">game sets were available, </w:t>
      </w:r>
      <w:r>
        <w:t>and there was a responsible manager, who was charged of the control. This was likely the best place if not the only one in which playing some games was completely allowed</w:t>
      </w:r>
      <w:r w:rsidR="001F7D58">
        <w:t xml:space="preserve"> in Florence</w:t>
      </w:r>
      <w:r>
        <w:t>.</w:t>
      </w:r>
    </w:p>
    <w:p w:rsidR="008632CD" w:rsidRDefault="0099099A" w:rsidP="000152F6">
      <w:r>
        <w:t xml:space="preserve">Now, we are ready to </w:t>
      </w:r>
      <w:r w:rsidR="001F7D58">
        <w:t>gain knowledge of</w:t>
      </w:r>
      <w:r>
        <w:t xml:space="preserve"> the games that people could play there at the time. We cannot expect dice</w:t>
      </w:r>
      <w:r w:rsidR="00EE6A05">
        <w:t xml:space="preserve"> or other gambling</w:t>
      </w:r>
      <w:r>
        <w:t xml:space="preserve"> games, and indeed they are not even mentioned. Only three games were allowed</w:t>
      </w:r>
      <w:r w:rsidR="008E7270">
        <w:t xml:space="preserve"> there</w:t>
      </w:r>
      <w:r>
        <w:t xml:space="preserve">. </w:t>
      </w:r>
    </w:p>
    <w:p w:rsidR="0099099A" w:rsidRDefault="008E7270" w:rsidP="000152F6">
      <w:r>
        <w:t>A</w:t>
      </w:r>
      <w:r w:rsidR="0099099A">
        <w:t xml:space="preserve"> game that one could</w:t>
      </w:r>
      <w:r>
        <w:t xml:space="preserve"> easily</w:t>
      </w:r>
      <w:r w:rsidR="0099099A">
        <w:t xml:space="preserve"> expect to find, in the open air, is the game of </w:t>
      </w:r>
      <w:proofErr w:type="spellStart"/>
      <w:r w:rsidR="0099099A">
        <w:t>Pallottole</w:t>
      </w:r>
      <w:proofErr w:type="spellEnd"/>
      <w:r w:rsidR="0099099A">
        <w:t xml:space="preserve">. That name is now mostly used </w:t>
      </w:r>
      <w:r w:rsidR="00EE6A05">
        <w:t>with</w:t>
      </w:r>
      <w:r w:rsidR="0099099A">
        <w:t xml:space="preserve"> the meaning of </w:t>
      </w:r>
      <w:r>
        <w:t>bullets, but here the meaning i</w:t>
      </w:r>
      <w:r w:rsidR="0099099A">
        <w:t>s that of small balls</w:t>
      </w:r>
      <w:r w:rsidR="00EE6A05">
        <w:t>: the game</w:t>
      </w:r>
      <w:r w:rsidR="008632CD">
        <w:t xml:space="preserve"> was </w:t>
      </w:r>
      <w:r w:rsidR="0060642C">
        <w:t>thus B</w:t>
      </w:r>
      <w:r w:rsidR="00EE6A05">
        <w:t xml:space="preserve">occe, </w:t>
      </w:r>
      <w:r w:rsidR="008632CD">
        <w:t>one of the several bowl games with a long history</w:t>
      </w:r>
      <w:r w:rsidR="0099099A">
        <w:t xml:space="preserve">. </w:t>
      </w:r>
    </w:p>
    <w:p w:rsidR="003A44E3" w:rsidRDefault="003A44E3" w:rsidP="000152F6">
      <w:r>
        <w:t xml:space="preserve">I am actually much more interested in the two remaining games, both played with cards. It may appear as </w:t>
      </w:r>
      <w:r w:rsidR="0060642C">
        <w:t xml:space="preserve">an </w:t>
      </w:r>
      <w:r>
        <w:t>extraordinary</w:t>
      </w:r>
      <w:r w:rsidR="0060642C">
        <w:t xml:space="preserve"> situation</w:t>
      </w:r>
      <w:r>
        <w:t xml:space="preserve"> to find two thirds of the games based on </w:t>
      </w:r>
      <w:r w:rsidR="005C7392">
        <w:t xml:space="preserve">playing </w:t>
      </w:r>
      <w:r>
        <w:t xml:space="preserve">cards, without </w:t>
      </w:r>
      <w:r w:rsidR="0060642C">
        <w:t>even a</w:t>
      </w:r>
      <w:r>
        <w:t xml:space="preserve"> board game mentioned. Fact is however that these were not common cards, clearly not the </w:t>
      </w:r>
      <w:r>
        <w:lastRenderedPageBreak/>
        <w:t xml:space="preserve">cards with which </w:t>
      </w:r>
      <w:proofErr w:type="spellStart"/>
      <w:r>
        <w:t>Primiera</w:t>
      </w:r>
      <w:proofErr w:type="spellEnd"/>
      <w:r>
        <w:t xml:space="preserve"> or similar games were played</w:t>
      </w:r>
      <w:r w:rsidR="005C7392">
        <w:t>; and only two packs were available for each game</w:t>
      </w:r>
      <w:r>
        <w:t>.</w:t>
      </w:r>
    </w:p>
    <w:p w:rsidR="003A44E3" w:rsidRDefault="003A44E3" w:rsidP="000152F6">
      <w:r>
        <w:t>The first kind of special cards allowed is fully expected, Germini. It would have been strange if this traditional game were not present among the allowed ones.</w:t>
      </w:r>
      <w:r w:rsidR="001F7D58">
        <w:t xml:space="preserve"> </w:t>
      </w:r>
      <w:r>
        <w:t xml:space="preserve">Somewhat unexpected, to me at least, is the second game allowed by then in Florence, Tarocchi. This is one of the very infrequent cases, or may be the unique one, in which I am finding Tarocchi </w:t>
      </w:r>
      <w:r w:rsidR="008E7270">
        <w:t xml:space="preserve">recorded as </w:t>
      </w:r>
      <w:r>
        <w:t>used in Florence.</w:t>
      </w:r>
    </w:p>
    <w:p w:rsidR="00EE6A05" w:rsidRDefault="00EE6A05" w:rsidP="000152F6">
      <w:r>
        <w:t xml:space="preserve">Most important for us is that we find two </w:t>
      </w:r>
      <w:r w:rsidR="0060642C">
        <w:t>such</w:t>
      </w:r>
      <w:r>
        <w:t xml:space="preserve"> packs and games mentioned. This can be co</w:t>
      </w:r>
      <w:r w:rsidR="001F7D58">
        <w:t xml:space="preserve">nsidered as the starting point </w:t>
      </w:r>
      <w:r>
        <w:t>f</w:t>
      </w:r>
      <w:r w:rsidR="001F7D58">
        <w:t>or</w:t>
      </w:r>
      <w:r>
        <w:t xml:space="preserve"> a </w:t>
      </w:r>
      <w:r w:rsidR="001F7D58">
        <w:t>subsequent</w:t>
      </w:r>
      <w:r>
        <w:t xml:space="preserve"> discussion on the members of this </w:t>
      </w:r>
      <w:r w:rsidR="001F7D58">
        <w:t>family of games: on the</w:t>
      </w:r>
      <w:r>
        <w:t xml:space="preserve"> basis</w:t>
      </w:r>
      <w:r w:rsidR="001F7D58">
        <w:t xml:space="preserve"> of the information</w:t>
      </w:r>
      <w:r w:rsidR="008E7270">
        <w:t xml:space="preserve"> </w:t>
      </w:r>
      <w:r w:rsidR="0060642C">
        <w:t xml:space="preserve">here </w:t>
      </w:r>
      <w:r w:rsidR="008E7270">
        <w:t>provided</w:t>
      </w:r>
      <w:r>
        <w:t>, it is certain that they were two at least.</w:t>
      </w:r>
    </w:p>
    <w:p w:rsidR="00EE6A05" w:rsidRDefault="00EE6A05" w:rsidP="00D537F1">
      <w:pPr>
        <w:pStyle w:val="Heading2"/>
      </w:pPr>
    </w:p>
    <w:p w:rsidR="0099099A" w:rsidRDefault="00672AFA" w:rsidP="00D537F1">
      <w:pPr>
        <w:pStyle w:val="Heading2"/>
      </w:pPr>
      <w:r>
        <w:t xml:space="preserve">2. </w:t>
      </w:r>
      <w:r w:rsidR="006B5766">
        <w:t>1693</w:t>
      </w:r>
      <w:r w:rsidR="00DD0A24">
        <w:t xml:space="preserve"> </w:t>
      </w:r>
      <w:r w:rsidR="00DD0A24">
        <w:rPr>
          <w:rFonts w:cs="Times New Roman"/>
        </w:rPr>
        <w:t>−</w:t>
      </w:r>
      <w:r w:rsidR="00D537F1">
        <w:t xml:space="preserve">At barbershops </w:t>
      </w:r>
      <w:r w:rsidR="00BD15E5">
        <w:t xml:space="preserve">and </w:t>
      </w:r>
      <w:r w:rsidR="00EE6A05">
        <w:t>hot baths</w:t>
      </w:r>
    </w:p>
    <w:p w:rsidR="00D537F1" w:rsidRDefault="00D537F1" w:rsidP="00D537F1"/>
    <w:p w:rsidR="00D537F1" w:rsidRDefault="00D537F1" w:rsidP="00D537F1">
      <w:r>
        <w:t xml:space="preserve">If we have previously met Germini and Tarocchi, </w:t>
      </w:r>
      <w:r w:rsidR="001F7D58">
        <w:t>in 1693</w:t>
      </w:r>
      <w:r w:rsidR="00EE6A05">
        <w:t xml:space="preserve"> </w:t>
      </w:r>
      <w:r>
        <w:t>we find Minchiate as the object of a new law.</w:t>
      </w:r>
      <w:r w:rsidR="00CB135D">
        <w:t xml:space="preserve"> (4)</w:t>
      </w:r>
      <w:r w:rsidR="00EE6A05">
        <w:t xml:space="preserve"> </w:t>
      </w:r>
      <w:r>
        <w:t xml:space="preserve">Almost a full century has </w:t>
      </w:r>
      <w:r w:rsidR="00BB5B6C">
        <w:t xml:space="preserve">passed since the previous law. It is hardly possible to find either Germini or Tarocchi </w:t>
      </w:r>
      <w:r w:rsidR="001F7D58">
        <w:t xml:space="preserve">still </w:t>
      </w:r>
      <w:r w:rsidR="00BB5B6C">
        <w:t>mentioned in Florence. Minchiate is by now the common name of the traditional Florentine game. It only remain</w:t>
      </w:r>
      <w:r w:rsidR="001F7D58">
        <w:t>s</w:t>
      </w:r>
      <w:r w:rsidR="00BB5B6C">
        <w:t xml:space="preserve"> to </w:t>
      </w:r>
      <w:r w:rsidR="0060642C">
        <w:t>understand how much popular this</w:t>
      </w:r>
      <w:r w:rsidR="00BB5B6C">
        <w:t xml:space="preserve"> game was at the time, </w:t>
      </w:r>
      <w:r w:rsidR="006B5766">
        <w:t xml:space="preserve">and </w:t>
      </w:r>
      <w:r w:rsidR="00BB5B6C">
        <w:t>which was</w:t>
      </w:r>
      <w:r w:rsidR="009115E3">
        <w:t xml:space="preserve"> </w:t>
      </w:r>
      <w:r w:rsidR="00BB5B6C">
        <w:t>the typical milieu for its practice.</w:t>
      </w:r>
    </w:p>
    <w:p w:rsidR="008632CD" w:rsidRDefault="006B5766" w:rsidP="00D537F1">
      <w:r>
        <w:t>The law of 3 January 1693</w:t>
      </w:r>
      <w:r w:rsidR="00BB5B6C">
        <w:t xml:space="preserve"> provide</w:t>
      </w:r>
      <w:r w:rsidR="00EE6A05">
        <w:t>s</w:t>
      </w:r>
      <w:r w:rsidR="00BB5B6C">
        <w:t xml:space="preserve"> useful information. The spread of Minchiate had reached such </w:t>
      </w:r>
      <w:r w:rsidR="00EE6A05">
        <w:t>a popularity that lawmakers had</w:t>
      </w:r>
      <w:r w:rsidR="00BB5B6C">
        <w:t xml:space="preserve"> to take </w:t>
      </w:r>
      <w:r w:rsidR="00EE6A05">
        <w:t xml:space="preserve">more </w:t>
      </w:r>
      <w:r w:rsidR="00BB5B6C">
        <w:t>rigorous measures against it. The new law forbids the game to be played in any</w:t>
      </w:r>
      <w:r w:rsidR="00EE6A05">
        <w:t xml:space="preserve"> place </w:t>
      </w:r>
      <w:r w:rsidR="00EE6A05">
        <w:rPr>
          <w:rFonts w:cs="Times New Roman"/>
        </w:rPr>
        <w:t>−</w:t>
      </w:r>
      <w:r w:rsidR="00EE6A05">
        <w:t xml:space="preserve"> t</w:t>
      </w:r>
      <w:r>
        <w:t xml:space="preserve">his however only in the evening and </w:t>
      </w:r>
      <w:r w:rsidR="008E7270">
        <w:t>by</w:t>
      </w:r>
      <w:r>
        <w:t xml:space="preserve"> night, after the bell’</w:t>
      </w:r>
      <w:r w:rsidR="008632CD">
        <w:t>s</w:t>
      </w:r>
      <w:r>
        <w:t xml:space="preserve"> sound. </w:t>
      </w:r>
      <w:r w:rsidR="008632CD">
        <w:t xml:space="preserve">In particular, the meaning of </w:t>
      </w:r>
      <w:proofErr w:type="spellStart"/>
      <w:r w:rsidR="008632CD">
        <w:t>Campana</w:t>
      </w:r>
      <w:proofErr w:type="spellEnd"/>
      <w:r w:rsidR="008632CD">
        <w:t xml:space="preserve"> </w:t>
      </w:r>
      <w:proofErr w:type="spellStart"/>
      <w:r w:rsidR="008632CD">
        <w:t>dell’arme</w:t>
      </w:r>
      <w:proofErr w:type="spellEnd"/>
      <w:r w:rsidR="008632CD">
        <w:t xml:space="preserve">, was that ringing this bell corresponded to the evening </w:t>
      </w:r>
      <w:r w:rsidR="001F7D58">
        <w:t>moment</w:t>
      </w:r>
      <w:r w:rsidR="008632CD">
        <w:t xml:space="preserve"> at which all weapons had to be dropped down.</w:t>
      </w:r>
    </w:p>
    <w:p w:rsidR="00BB5B6C" w:rsidRDefault="008E7270" w:rsidP="00D537F1">
      <w:r>
        <w:t>As for the places involved, f</w:t>
      </w:r>
      <w:r w:rsidR="006B5766">
        <w:t>irst of all</w:t>
      </w:r>
      <w:r w:rsidR="00BB5B6C">
        <w:t xml:space="preserve"> barber</w:t>
      </w:r>
      <w:r w:rsidR="006B5766">
        <w:t>s and their</w:t>
      </w:r>
      <w:r w:rsidR="00BB5B6C">
        <w:t xml:space="preserve"> shop</w:t>
      </w:r>
      <w:r w:rsidR="006B5766">
        <w:t>s are mentioned, then</w:t>
      </w:r>
      <w:r w:rsidR="006B5766" w:rsidRPr="006B5766">
        <w:t xml:space="preserve"> </w:t>
      </w:r>
      <w:proofErr w:type="spellStart"/>
      <w:r w:rsidR="00EE6A05">
        <w:t>S</w:t>
      </w:r>
      <w:r w:rsidR="006B5766">
        <w:t>tufaioli</w:t>
      </w:r>
      <w:proofErr w:type="spellEnd"/>
      <w:r w:rsidR="006B5766">
        <w:t xml:space="preserve">, </w:t>
      </w:r>
      <w:r w:rsidR="008632CD">
        <w:t xml:space="preserve">operators of hot baths, </w:t>
      </w:r>
      <w:r w:rsidR="00EE6A05">
        <w:t xml:space="preserve">both cases </w:t>
      </w:r>
      <w:r w:rsidR="006B5766">
        <w:t>not properly corresp</w:t>
      </w:r>
      <w:r w:rsidR="001F7D58">
        <w:t xml:space="preserve">onding to elitist environments; then </w:t>
      </w:r>
      <w:r w:rsidR="006B5766">
        <w:t>more pretentious milieus are indicated</w:t>
      </w:r>
      <w:r w:rsidR="001F7D58">
        <w:t xml:space="preserve"> too</w:t>
      </w:r>
      <w:r w:rsidR="006B5766">
        <w:t>, academies included.</w:t>
      </w:r>
    </w:p>
    <w:p w:rsidR="00BB5B6C" w:rsidRDefault="005B2D4C" w:rsidP="00D537F1">
      <w:r>
        <w:t xml:space="preserve">Obviously, </w:t>
      </w:r>
      <w:r w:rsidR="00BB5B6C">
        <w:t>a new law with these prohibitions</w:t>
      </w:r>
      <w:r w:rsidRPr="005B2D4C">
        <w:t xml:space="preserve"> </w:t>
      </w:r>
      <w:r>
        <w:t>was not necessary</w:t>
      </w:r>
      <w:r w:rsidR="00BB5B6C">
        <w:t xml:space="preserve">, if the game was only played by the high classes. If now Minchiate cannot be played any longer </w:t>
      </w:r>
      <w:r w:rsidR="006B5766">
        <w:t>late in the evening</w:t>
      </w:r>
      <w:r w:rsidR="00EE6A05">
        <w:t>s</w:t>
      </w:r>
      <w:r w:rsidR="006B5766">
        <w:t xml:space="preserve"> </w:t>
      </w:r>
      <w:r w:rsidR="00BB5B6C">
        <w:t>at barber shops</w:t>
      </w:r>
      <w:r w:rsidR="008632CD">
        <w:t xml:space="preserve"> and hot baths</w:t>
      </w:r>
      <w:r w:rsidR="00BB5B6C">
        <w:t>,</w:t>
      </w:r>
      <w:r w:rsidR="008632CD">
        <w:t xml:space="preserve"> this implicitly means that they had become</w:t>
      </w:r>
      <w:r w:rsidR="00BB5B6C">
        <w:t xml:space="preserve"> typical place</w:t>
      </w:r>
      <w:r w:rsidR="008632CD">
        <w:t>s</w:t>
      </w:r>
      <w:r w:rsidR="006B5766">
        <w:t xml:space="preserve">, and </w:t>
      </w:r>
      <w:r w:rsidR="00481904">
        <w:t xml:space="preserve">typical </w:t>
      </w:r>
      <w:r w:rsidR="006B5766">
        <w:t>time</w:t>
      </w:r>
      <w:r w:rsidR="00EE6A05">
        <w:t>s</w:t>
      </w:r>
      <w:r w:rsidR="006B5766">
        <w:t>,</w:t>
      </w:r>
      <w:r>
        <w:t xml:space="preserve"> for playing the game: a</w:t>
      </w:r>
      <w:r w:rsidR="006B5766">
        <w:t>nybody could play Minchiate at</w:t>
      </w:r>
      <w:r w:rsidR="00BB5B6C">
        <w:t xml:space="preserve"> a barber shop</w:t>
      </w:r>
      <w:r w:rsidR="00481904">
        <w:t xml:space="preserve"> or a hot bath</w:t>
      </w:r>
      <w:r w:rsidR="006B5766">
        <w:t>, and anybody could do it</w:t>
      </w:r>
      <w:r w:rsidR="00481904">
        <w:t>, even</w:t>
      </w:r>
      <w:r w:rsidR="006B5766">
        <w:t xml:space="preserve"> aft</w:t>
      </w:r>
      <w:r w:rsidR="0060642C">
        <w:t>er this</w:t>
      </w:r>
      <w:r w:rsidR="006B5766">
        <w:t xml:space="preserve"> </w:t>
      </w:r>
      <w:r w:rsidR="00481904">
        <w:t>new law</w:t>
      </w:r>
      <w:r w:rsidR="006B5766">
        <w:t xml:space="preserve"> – one had </w:t>
      </w:r>
      <w:r w:rsidR="00481904">
        <w:t>just</w:t>
      </w:r>
      <w:r w:rsidR="006B5766">
        <w:t xml:space="preserve"> to stop playing</w:t>
      </w:r>
      <w:r w:rsidR="00A93F81">
        <w:t xml:space="preserve"> </w:t>
      </w:r>
      <w:r w:rsidR="00481904">
        <w:t xml:space="preserve">at the beginning of </w:t>
      </w:r>
      <w:r w:rsidR="00A93F81">
        <w:t>the night</w:t>
      </w:r>
      <w:r w:rsidR="00BB5B6C">
        <w:t>.</w:t>
      </w:r>
      <w:r w:rsidR="008632CD">
        <w:t xml:space="preserve"> </w:t>
      </w:r>
    </w:p>
    <w:p w:rsidR="00EE6A05" w:rsidRDefault="00EE6A05" w:rsidP="00D537F1">
      <w:r>
        <w:t xml:space="preserve">Thus the </w:t>
      </w:r>
      <w:r w:rsidR="005B2D4C">
        <w:t xml:space="preserve">card </w:t>
      </w:r>
      <w:r>
        <w:t xml:space="preserve">games requiring a new law </w:t>
      </w:r>
      <w:r w:rsidR="005B2D4C">
        <w:t xml:space="preserve">for limiting the authorisation to play them </w:t>
      </w:r>
      <w:r>
        <w:t xml:space="preserve">are now reduced to just one, the one and only one </w:t>
      </w:r>
      <w:r w:rsidR="00374EF3">
        <w:t xml:space="preserve">card game </w:t>
      </w:r>
      <w:r w:rsidR="0057057F">
        <w:t xml:space="preserve">that had remained as the </w:t>
      </w:r>
      <w:r>
        <w:t>most popular</w:t>
      </w:r>
      <w:r w:rsidR="0057057F">
        <w:t xml:space="preserve"> in Florence.</w:t>
      </w:r>
    </w:p>
    <w:p w:rsidR="00672AFA" w:rsidRDefault="00672AFA" w:rsidP="00D537F1"/>
    <w:p w:rsidR="00EE6A05" w:rsidRDefault="0060642C" w:rsidP="00EE6A05">
      <w:pPr>
        <w:pStyle w:val="Heading2"/>
      </w:pPr>
      <w:r>
        <w:t xml:space="preserve">3. </w:t>
      </w:r>
      <w:r w:rsidR="00EE6A05">
        <w:t>A comment</w:t>
      </w:r>
    </w:p>
    <w:p w:rsidR="00EE6A05" w:rsidRPr="00EE6A05" w:rsidRDefault="00EE6A05" w:rsidP="00EE6A05"/>
    <w:p w:rsidR="00EE6A05" w:rsidRDefault="00EB232A" w:rsidP="00EE6A05">
      <w:pPr>
        <w:rPr>
          <w:rFonts w:cs="Times New Roman"/>
        </w:rPr>
      </w:pPr>
      <w:r>
        <w:t>The 1606</w:t>
      </w:r>
      <w:r w:rsidR="00EE6A05">
        <w:t xml:space="preserve"> date for using Tarocchi in Florence is both early and late. Early, because the spread of that game – or, at least, of that name for the game </w:t>
      </w:r>
      <w:r w:rsidR="00EE6A05">
        <w:rPr>
          <w:rFonts w:cs="Times New Roman"/>
        </w:rPr>
        <w:t xml:space="preserve">– was rather recent; late, because </w:t>
      </w:r>
      <w:r w:rsidR="005B2D4C">
        <w:rPr>
          <w:rFonts w:cs="Times New Roman"/>
        </w:rPr>
        <w:t xml:space="preserve">in the lists of local playing cards </w:t>
      </w:r>
      <w:r w:rsidR="00EE6A05">
        <w:rPr>
          <w:rFonts w:cs="Times New Roman"/>
        </w:rPr>
        <w:t xml:space="preserve">I could </w:t>
      </w:r>
      <w:r w:rsidR="005B2D4C">
        <w:rPr>
          <w:rFonts w:cs="Times New Roman"/>
        </w:rPr>
        <w:t xml:space="preserve">not </w:t>
      </w:r>
      <w:r w:rsidR="00EE6A05">
        <w:rPr>
          <w:rFonts w:cs="Times New Roman"/>
        </w:rPr>
        <w:t>find Tarocchi produced in Florence</w:t>
      </w:r>
      <w:r w:rsidR="005B2D4C">
        <w:rPr>
          <w:rFonts w:cs="Times New Roman"/>
        </w:rPr>
        <w:t xml:space="preserve"> later on</w:t>
      </w:r>
      <w:r w:rsidR="00EE6A05">
        <w:rPr>
          <w:rFonts w:cs="Times New Roman"/>
        </w:rPr>
        <w:t xml:space="preserve">. Alongside </w:t>
      </w:r>
      <w:r>
        <w:rPr>
          <w:rFonts w:cs="Times New Roman"/>
        </w:rPr>
        <w:t xml:space="preserve">of </w:t>
      </w:r>
      <w:r w:rsidR="0060642C">
        <w:rPr>
          <w:rFonts w:cs="Times New Roman"/>
        </w:rPr>
        <w:t xml:space="preserve">ordinary </w:t>
      </w:r>
      <w:proofErr w:type="spellStart"/>
      <w:r w:rsidR="00EE6A05">
        <w:rPr>
          <w:rFonts w:cs="Times New Roman"/>
        </w:rPr>
        <w:t>Piccole</w:t>
      </w:r>
      <w:proofErr w:type="spellEnd"/>
      <w:r w:rsidR="00EE6A05">
        <w:rPr>
          <w:rFonts w:cs="Times New Roman"/>
        </w:rPr>
        <w:t xml:space="preserve"> and </w:t>
      </w:r>
      <w:proofErr w:type="spellStart"/>
      <w:r w:rsidR="00EE6A05">
        <w:rPr>
          <w:rFonts w:cs="Times New Roman"/>
        </w:rPr>
        <w:t>Grandi</w:t>
      </w:r>
      <w:proofErr w:type="spellEnd"/>
      <w:r w:rsidR="00EE6A05">
        <w:rPr>
          <w:rFonts w:cs="Times New Roman"/>
        </w:rPr>
        <w:t xml:space="preserve"> cards, I could only find Minchiate listed.</w:t>
      </w:r>
    </w:p>
    <w:p w:rsidR="00EB232A" w:rsidRDefault="00EB232A" w:rsidP="00EB232A">
      <w:r>
        <w:t>Of course, I am familiar with the suggestions that Tarocchi were used in Florence before the local introduction of the new Germini-or-Minchiate special Florentine game, but historical evidence for that is little known, if not unknown at all.</w:t>
      </w:r>
    </w:p>
    <w:p w:rsidR="00EE6A05" w:rsidRDefault="00EE6A05" w:rsidP="00EE6A05">
      <w:r>
        <w:t xml:space="preserve">Let us be satisfied with the evidence that playing Germini and Tarocchi was by then a pastime for common people, only in competition as a playing offer with a similarly popular </w:t>
      </w:r>
      <w:r w:rsidR="0060642C">
        <w:t>B</w:t>
      </w:r>
      <w:r w:rsidR="00EB232A">
        <w:t>occe</w:t>
      </w:r>
      <w:r>
        <w:t xml:space="preserve"> game. Any Flo</w:t>
      </w:r>
      <w:r w:rsidR="00244A8D">
        <w:t>r</w:t>
      </w:r>
      <w:r>
        <w:t>entine citizen could play these games till sunset, provided he was older than 25 years.</w:t>
      </w:r>
    </w:p>
    <w:p w:rsidR="00EE6A05" w:rsidRDefault="0057057F" w:rsidP="00EE6A05">
      <w:r>
        <w:t>Then</w:t>
      </w:r>
      <w:r w:rsidR="00EB232A">
        <w:t>, in 1693,</w:t>
      </w:r>
      <w:r>
        <w:t xml:space="preserve"> we find Minchiate, and the problem arises whether we are in the presence of a total of two or three members of the </w:t>
      </w:r>
      <w:r w:rsidR="00EB232A">
        <w:t xml:space="preserve">same </w:t>
      </w:r>
      <w:r>
        <w:t xml:space="preserve">family. </w:t>
      </w:r>
      <w:r w:rsidR="0096731F">
        <w:t xml:space="preserve">The easiest conclusion is that Germini and Minchiate were two different names for the same Florentine pack and game, whereas Tarocchi was the current name for the 78-card pack that was used in several Northern regions of Italy and which </w:t>
      </w:r>
      <w:r w:rsidR="0096731F">
        <w:lastRenderedPageBreak/>
        <w:t>left very few traces in Florence.</w:t>
      </w:r>
      <w:r w:rsidR="00EB232A" w:rsidRPr="00EB232A">
        <w:t xml:space="preserve"> </w:t>
      </w:r>
      <w:r w:rsidR="009E1365">
        <w:t>However</w:t>
      </w:r>
      <w:r w:rsidR="00EB232A">
        <w:t>, we are not 100% certain</w:t>
      </w:r>
      <w:r w:rsidR="00DF6D52">
        <w:t>, in particular,</w:t>
      </w:r>
      <w:r w:rsidR="00EB232A">
        <w:t xml:space="preserve"> that Germini and Minchiate were exactly the same game.</w:t>
      </w:r>
    </w:p>
    <w:p w:rsidR="005B2D4C" w:rsidRDefault="005B2D4C" w:rsidP="00EE6A05"/>
    <w:p w:rsidR="00EE6A05" w:rsidRDefault="0060642C" w:rsidP="00EE6A05">
      <w:pPr>
        <w:pStyle w:val="Heading2"/>
      </w:pPr>
      <w:r>
        <w:t xml:space="preserve">4. </w:t>
      </w:r>
      <w:r w:rsidR="00EE6A05">
        <w:t>A flashback</w:t>
      </w:r>
    </w:p>
    <w:p w:rsidR="0057057F" w:rsidRDefault="0057057F" w:rsidP="0057057F"/>
    <w:p w:rsidR="009E1365" w:rsidRDefault="0057057F" w:rsidP="0057057F">
      <w:r>
        <w:t>In considering the members of this family of games, we cannot avoid an excu</w:t>
      </w:r>
      <w:r w:rsidR="009E1365">
        <w:t>r</w:t>
      </w:r>
      <w:r>
        <w:t>sion in</w:t>
      </w:r>
      <w:r w:rsidR="009E1365">
        <w:t>to</w:t>
      </w:r>
      <w:r>
        <w:t xml:space="preserve"> the previous centuries, when again we find some names for members of the family. </w:t>
      </w:r>
      <w:r w:rsidR="00DF6D52">
        <w:t>We may hope to start from the roots themselves of the whole family and reconstruct its members in order.</w:t>
      </w:r>
    </w:p>
    <w:p w:rsidR="0057057F" w:rsidRDefault="0057057F" w:rsidP="0057057F">
      <w:r>
        <w:t>In the 15</w:t>
      </w:r>
      <w:r w:rsidRPr="0057057F">
        <w:rPr>
          <w:vertAlign w:val="superscript"/>
        </w:rPr>
        <w:t>th</w:t>
      </w:r>
      <w:r>
        <w:t xml:space="preserve"> century, we first find only Trionfi mentioned, then Minchiate appears. To be scrupulous, it is not even clear whether this Minchiate name corresponded to the same pack and game, which we know from the following </w:t>
      </w:r>
      <w:r w:rsidR="009E1365">
        <w:t>centuries</w:t>
      </w:r>
      <w:r>
        <w:t>. It is possible, in other words, that we have as a whole no fewer than five members of the family, Trionfi of course, the pioneer</w:t>
      </w:r>
      <w:r w:rsidR="009E1365">
        <w:t xml:space="preserve"> game</w:t>
      </w:r>
      <w:r>
        <w:t>, Minchiate I, Tarocchi, Germini, and Minchiate II.</w:t>
      </w:r>
    </w:p>
    <w:p w:rsidR="00592D9C" w:rsidRDefault="0057057F" w:rsidP="0057057F">
      <w:r>
        <w:t xml:space="preserve">The special game that was initially known as Trionfi gave birth to several children, or was </w:t>
      </w:r>
      <w:r w:rsidR="009E1365">
        <w:t xml:space="preserve">then </w:t>
      </w:r>
      <w:r>
        <w:t>accompanied by several brothers</w:t>
      </w:r>
      <w:r w:rsidR="005B2D4C">
        <w:t>,</w:t>
      </w:r>
      <w:r>
        <w:t xml:space="preserve"> if one prefers. How many were the members of the family is not clear yet</w:t>
      </w:r>
      <w:r w:rsidR="005B2D4C">
        <w:t>, to me at least</w:t>
      </w:r>
      <w:r>
        <w:t>.</w:t>
      </w:r>
      <w:r w:rsidR="00C57271">
        <w:t xml:space="preserve"> In this general uncertainness, we have a </w:t>
      </w:r>
      <w:r w:rsidR="00DF6D52">
        <w:t>fixed</w:t>
      </w:r>
      <w:r w:rsidR="00C57271">
        <w:t xml:space="preserve"> point from the law of 1606 discussed above: two was the </w:t>
      </w:r>
      <w:r w:rsidR="00DF6D52">
        <w:t>smallest possible</w:t>
      </w:r>
      <w:r w:rsidR="00C57271">
        <w:t xml:space="preserve"> number</w:t>
      </w:r>
      <w:r w:rsidR="005B2D4C">
        <w:t>!</w:t>
      </w:r>
      <w:r w:rsidR="00C57271">
        <w:t xml:space="preserve"> </w:t>
      </w:r>
    </w:p>
    <w:p w:rsidR="00592D9C" w:rsidRDefault="009E1365" w:rsidP="0057057F">
      <w:r>
        <w:t>I</w:t>
      </w:r>
      <w:r w:rsidR="00592D9C">
        <w:t xml:space="preserve">n a statute </w:t>
      </w:r>
      <w:r>
        <w:t>of the 16</w:t>
      </w:r>
      <w:r w:rsidRPr="009E1365">
        <w:rPr>
          <w:vertAlign w:val="superscript"/>
        </w:rPr>
        <w:t>th</w:t>
      </w:r>
      <w:r>
        <w:t xml:space="preserve"> century the identity is suggested </w:t>
      </w:r>
      <w:r w:rsidR="00592D9C">
        <w:t xml:space="preserve">between Germini and Trionfi </w:t>
      </w:r>
      <w:proofErr w:type="spellStart"/>
      <w:r w:rsidR="00592D9C">
        <w:t>grandi</w:t>
      </w:r>
      <w:proofErr w:type="spellEnd"/>
      <w:r w:rsidR="00592D9C">
        <w:t xml:space="preserve"> (which leaves us wondering what could be </w:t>
      </w:r>
      <w:r>
        <w:t xml:space="preserve">the specific name for Trionfi </w:t>
      </w:r>
      <w:proofErr w:type="spellStart"/>
      <w:r>
        <w:t>piccoli</w:t>
      </w:r>
      <w:proofErr w:type="spellEnd"/>
      <w:r w:rsidR="00592D9C">
        <w:t>, if any).</w:t>
      </w:r>
      <w:r w:rsidR="00114152">
        <w:t xml:space="preserve"> </w:t>
      </w:r>
      <w:r w:rsidR="00CB135D">
        <w:t xml:space="preserve">(5) </w:t>
      </w:r>
      <w:r w:rsidR="00114152">
        <w:t>The situation of these games and corresponding names was not clear even in the previous century.</w:t>
      </w:r>
      <w:r w:rsidR="00CB135D">
        <w:t xml:space="preserve"> (6)</w:t>
      </w:r>
    </w:p>
    <w:p w:rsidR="0057057F" w:rsidRPr="0057057F" w:rsidRDefault="00C57271" w:rsidP="0057057F">
      <w:r>
        <w:t>I personally find that five as the maximum is</w:t>
      </w:r>
      <w:r w:rsidR="005B2D4C">
        <w:t xml:space="preserve"> somewhat higher than necessary</w:t>
      </w:r>
      <w:r w:rsidR="009E1365">
        <w:t xml:space="preserve">, but </w:t>
      </w:r>
      <w:r w:rsidR="00DF6D52">
        <w:t>having taken</w:t>
      </w:r>
      <w:r w:rsidR="009E1365">
        <w:t xml:space="preserve"> the whole history into account has </w:t>
      </w:r>
      <w:r w:rsidR="00DF6D52">
        <w:t xml:space="preserve">left </w:t>
      </w:r>
      <w:r w:rsidR="009E1365">
        <w:t>us with a situation more complex than that of the 17</w:t>
      </w:r>
      <w:r w:rsidR="009E1365" w:rsidRPr="009E1365">
        <w:rPr>
          <w:vertAlign w:val="superscript"/>
        </w:rPr>
        <w:t>th</w:t>
      </w:r>
      <w:r w:rsidR="009E1365">
        <w:t xml:space="preserve"> century examined here, instead of simplifying it.</w:t>
      </w:r>
    </w:p>
    <w:p w:rsidR="00EE6A05" w:rsidRPr="00EE6A05" w:rsidRDefault="00EE6A05" w:rsidP="00EE6A05"/>
    <w:p w:rsidR="00672AFA" w:rsidRDefault="00672AFA" w:rsidP="00672AFA">
      <w:pPr>
        <w:pStyle w:val="Heading2"/>
      </w:pPr>
      <w:r>
        <w:t>Conclusion</w:t>
      </w:r>
    </w:p>
    <w:p w:rsidR="00672AFA" w:rsidRDefault="00672AFA" w:rsidP="00672AFA"/>
    <w:p w:rsidR="00672AFA" w:rsidRDefault="00672AFA" w:rsidP="00672AFA">
      <w:r>
        <w:t xml:space="preserve">In Florence several laws were </w:t>
      </w:r>
      <w:r w:rsidR="00C57271">
        <w:t>promulgated</w:t>
      </w:r>
      <w:r>
        <w:t xml:space="preserve"> in the 17</w:t>
      </w:r>
      <w:r w:rsidRPr="00672AFA">
        <w:rPr>
          <w:vertAlign w:val="superscript"/>
        </w:rPr>
        <w:t>th</w:t>
      </w:r>
      <w:r>
        <w:t xml:space="preserve"> century against card games, to begin with </w:t>
      </w:r>
      <w:proofErr w:type="spellStart"/>
      <w:r>
        <w:t>Primiera</w:t>
      </w:r>
      <w:proofErr w:type="spellEnd"/>
      <w:r>
        <w:t xml:space="preserve"> and several of its variants</w:t>
      </w:r>
      <w:r w:rsidR="00DF1688">
        <w:t xml:space="preserve">, up to </w:t>
      </w:r>
      <w:proofErr w:type="spellStart"/>
      <w:r w:rsidR="00DF1688">
        <w:t>Bassetta</w:t>
      </w:r>
      <w:proofErr w:type="spellEnd"/>
      <w:r w:rsidR="00DF1688">
        <w:t xml:space="preserve"> </w:t>
      </w:r>
      <w:r w:rsidR="0096731F">
        <w:t xml:space="preserve">more frequent </w:t>
      </w:r>
      <w:r w:rsidR="00DF1688">
        <w:t>near the end of the century</w:t>
      </w:r>
      <w:r>
        <w:t xml:space="preserve">. </w:t>
      </w:r>
      <w:r w:rsidR="005B2D4C">
        <w:t xml:space="preserve">However, card games </w:t>
      </w:r>
      <w:r>
        <w:t xml:space="preserve">played with the local </w:t>
      </w:r>
      <w:r w:rsidR="005B2D4C">
        <w:t xml:space="preserve">“triumphal” </w:t>
      </w:r>
      <w:r w:rsidR="009E1365">
        <w:t>packs</w:t>
      </w:r>
      <w:r w:rsidR="00DF1688">
        <w:t xml:space="preserve"> were</w:t>
      </w:r>
      <w:r>
        <w:t xml:space="preserve"> generally allowed and found a remarkable popularity.</w:t>
      </w:r>
    </w:p>
    <w:p w:rsidR="00672AFA" w:rsidRDefault="00672AFA" w:rsidP="00672AFA">
      <w:r>
        <w:t xml:space="preserve">At the beginning of the century, we </w:t>
      </w:r>
      <w:r w:rsidR="00DF1688">
        <w:t>encounter</w:t>
      </w:r>
      <w:r>
        <w:t xml:space="preserve"> both Germini and Tarocchi as the only allowed games, at least to Florentine citizens older than 25 years. At the end of the century, we find Minchiate played everywhere, and </w:t>
      </w:r>
      <w:r w:rsidR="005B2D4C">
        <w:t>even</w:t>
      </w:r>
      <w:r>
        <w:t xml:space="preserve"> </w:t>
      </w:r>
      <w:r w:rsidR="00DF1688">
        <w:t xml:space="preserve">requiring a new law to become </w:t>
      </w:r>
      <w:r>
        <w:t>forbidden by night.</w:t>
      </w:r>
    </w:p>
    <w:p w:rsidR="0096731F" w:rsidRDefault="0096731F" w:rsidP="00672AFA">
      <w:r>
        <w:t>If we extend the analysis to previous centuries,</w:t>
      </w:r>
      <w:r w:rsidR="009115E3">
        <w:t xml:space="preserve"> </w:t>
      </w:r>
      <w:r w:rsidR="005B2D4C">
        <w:t>down to</w:t>
      </w:r>
      <w:r>
        <w:t xml:space="preserve"> the </w:t>
      </w:r>
      <w:r w:rsidR="005B2D4C">
        <w:t xml:space="preserve">first </w:t>
      </w:r>
      <w:r>
        <w:t>appearance of</w:t>
      </w:r>
      <w:r w:rsidR="005B2D4C">
        <w:t xml:space="preserve"> Trionfi and early Minchiate,</w:t>
      </w:r>
      <w:r>
        <w:t xml:space="preserve"> the question of how many were the members of this family of games</w:t>
      </w:r>
      <w:r w:rsidR="005B2D4C" w:rsidRPr="005B2D4C">
        <w:t xml:space="preserve"> </w:t>
      </w:r>
      <w:r w:rsidR="005B2D4C">
        <w:t>becomes complex to answer</w:t>
      </w:r>
      <w:r>
        <w:t xml:space="preserve">, with some </w:t>
      </w:r>
      <w:r w:rsidR="00DF6D52">
        <w:t>possi</w:t>
      </w:r>
      <w:r w:rsidR="003879A4">
        <w:t xml:space="preserve">ble </w:t>
      </w:r>
      <w:r w:rsidR="009E1365">
        <w:t>endorsement</w:t>
      </w:r>
      <w:r>
        <w:t xml:space="preserve"> for any number from two to five.</w:t>
      </w:r>
    </w:p>
    <w:p w:rsidR="0099099A" w:rsidRDefault="008B3763" w:rsidP="000152F6">
      <w:r>
        <w:t xml:space="preserve"> </w:t>
      </w:r>
    </w:p>
    <w:p w:rsidR="0099099A" w:rsidRDefault="00B64B79" w:rsidP="00B64B79">
      <w:pPr>
        <w:pStyle w:val="Heading1"/>
      </w:pPr>
      <w:r>
        <w:t xml:space="preserve">APPENDIX – </w:t>
      </w:r>
      <w:r w:rsidR="00DE19EA">
        <w:t>TEXT</w:t>
      </w:r>
      <w:r>
        <w:t xml:space="preserve"> OF THE ORIGINAL LAWS DISCUSSED</w:t>
      </w:r>
    </w:p>
    <w:p w:rsidR="00DE19EA" w:rsidRDefault="00DE19EA" w:rsidP="00DE19EA"/>
    <w:p w:rsidR="00DE19EA" w:rsidRDefault="00672AFA" w:rsidP="00DE19EA">
      <w:pPr>
        <w:rPr>
          <w:lang w:val="it-IT"/>
        </w:rPr>
      </w:pPr>
      <w:r>
        <w:rPr>
          <w:lang w:val="it-IT"/>
        </w:rPr>
        <w:t>A</w:t>
      </w:r>
      <w:r w:rsidR="00DE19EA" w:rsidRPr="007E7D9D">
        <w:rPr>
          <w:lang w:val="it-IT"/>
        </w:rPr>
        <w:t>1</w:t>
      </w:r>
      <w:r>
        <w:rPr>
          <w:lang w:val="it-IT"/>
        </w:rPr>
        <w:t>.</w:t>
      </w:r>
      <w:r w:rsidR="003879A4">
        <w:rPr>
          <w:lang w:val="it-IT"/>
        </w:rPr>
        <w:t xml:space="preserve"> </w:t>
      </w:r>
      <w:r w:rsidR="00DF6D52">
        <w:rPr>
          <w:lang w:val="it-IT"/>
        </w:rPr>
        <w:t>Bando / I</w:t>
      </w:r>
      <w:r w:rsidR="00DE19EA" w:rsidRPr="00DE19EA">
        <w:rPr>
          <w:lang w:val="it-IT"/>
        </w:rPr>
        <w:t>n aumento</w:t>
      </w:r>
      <w:r w:rsidR="00DF6D52">
        <w:rPr>
          <w:lang w:val="it-IT"/>
        </w:rPr>
        <w:t xml:space="preserve"> dell’Ordine del 1605, circa i</w:t>
      </w:r>
      <w:r w:rsidR="00DE19EA" w:rsidRPr="00DE19EA">
        <w:rPr>
          <w:lang w:val="it-IT"/>
        </w:rPr>
        <w:t xml:space="preserve"> giuo</w:t>
      </w:r>
      <w:r w:rsidR="00DF6D52">
        <w:rPr>
          <w:lang w:val="it-IT"/>
        </w:rPr>
        <w:t>/</w:t>
      </w:r>
      <w:r w:rsidR="00DE19EA" w:rsidRPr="00DE19EA">
        <w:rPr>
          <w:lang w:val="it-IT"/>
        </w:rPr>
        <w:t>chi, che sono permessi nell’Orto di S.</w:t>
      </w:r>
      <w:r w:rsidR="00DF6D52">
        <w:rPr>
          <w:lang w:val="it-IT"/>
        </w:rPr>
        <w:t>/</w:t>
      </w:r>
      <w:r w:rsidR="00DE19EA" w:rsidRPr="00DE19EA">
        <w:rPr>
          <w:lang w:val="it-IT"/>
        </w:rPr>
        <w:t>Maria Nuova.</w:t>
      </w:r>
      <w:r w:rsidR="00DF6D52">
        <w:rPr>
          <w:lang w:val="it-IT"/>
        </w:rPr>
        <w:t xml:space="preserve"> / </w:t>
      </w:r>
      <w:r w:rsidR="00DE19EA">
        <w:rPr>
          <w:lang w:val="it-IT"/>
        </w:rPr>
        <w:t xml:space="preserve">Pubblicato il dì venti di Giugno </w:t>
      </w:r>
      <w:r w:rsidR="00DF6D52">
        <w:rPr>
          <w:lang w:val="it-IT"/>
        </w:rPr>
        <w:t xml:space="preserve">/ </w:t>
      </w:r>
      <w:r w:rsidR="00DE19EA">
        <w:rPr>
          <w:lang w:val="it-IT"/>
        </w:rPr>
        <w:t>MDCVI.</w:t>
      </w:r>
    </w:p>
    <w:p w:rsidR="00DE19EA" w:rsidRDefault="00DE19EA" w:rsidP="00DE19EA">
      <w:pPr>
        <w:rPr>
          <w:lang w:val="it-IT"/>
        </w:rPr>
      </w:pPr>
      <w:r>
        <w:rPr>
          <w:lang w:val="it-IT"/>
        </w:rPr>
        <w:t>Il Serenissimo Grandua di Toscana, e per Sua Altezza Serenissima li Spettabili Signor</w:t>
      </w:r>
      <w:r w:rsidR="00DF6D52">
        <w:rPr>
          <w:lang w:val="it-IT"/>
        </w:rPr>
        <w:t>i Otto di Balìa mossi da giuste</w:t>
      </w:r>
      <w:r>
        <w:rPr>
          <w:lang w:val="it-IT"/>
        </w:rPr>
        <w:t>, e ragionevoli cagioni, che l’esperienza ne ha mostrate, aggiugnendo al Decreto, e Ordine per lor Signorie fatto sino s</w:t>
      </w:r>
      <w:r w:rsidR="00DF6D52">
        <w:rPr>
          <w:lang w:val="it-IT"/>
        </w:rPr>
        <w:t>otto dì ventisei di Aprile 1605.</w:t>
      </w:r>
      <w:r>
        <w:rPr>
          <w:lang w:val="it-IT"/>
        </w:rPr>
        <w:t xml:space="preserve"> per il quale si proibisce, e comanda, che nell’Orto del Giuoco di S. Maria Nuova non possi giocare altri, che solo Cittadi</w:t>
      </w:r>
      <w:r w:rsidR="00DF6D52">
        <w:rPr>
          <w:lang w:val="it-IT"/>
        </w:rPr>
        <w:t>ni statuali, né ad altri giuoco,</w:t>
      </w:r>
      <w:r>
        <w:rPr>
          <w:lang w:val="it-IT"/>
        </w:rPr>
        <w:t xml:space="preserve"> che a Germini, e Tarocchi con due paia di Tarocchi, e Germini per volta, e pallottole, proibendo in tutto</w:t>
      </w:r>
      <w:r w:rsidR="00DF6D52">
        <w:rPr>
          <w:lang w:val="it-IT"/>
        </w:rPr>
        <w:t>, e per tutto il giuocare</w:t>
      </w:r>
      <w:r>
        <w:rPr>
          <w:lang w:val="it-IT"/>
        </w:rPr>
        <w:t xml:space="preserve"> come si dice a chiamare, alla bassetta, all</w:t>
      </w:r>
      <w:r w:rsidR="00C57271">
        <w:rPr>
          <w:lang w:val="it-IT"/>
        </w:rPr>
        <w:t>a scoperta, &amp; all’alzata; aggiu</w:t>
      </w:r>
      <w:r>
        <w:rPr>
          <w:lang w:val="it-IT"/>
        </w:rPr>
        <w:t>n</w:t>
      </w:r>
      <w:r w:rsidR="00F43E67">
        <w:rPr>
          <w:lang w:val="it-IT"/>
        </w:rPr>
        <w:t>g</w:t>
      </w:r>
      <w:r>
        <w:rPr>
          <w:lang w:val="it-IT"/>
        </w:rPr>
        <w:t>endo all’ordine solito, qual resti nondimeno nel suo vigore, &amp; osservanza, proibiscano, e comandano, che in detto giucoco non vadino, se non quelli, che sono di età da ven</w:t>
      </w:r>
      <w:r w:rsidR="00F43E67">
        <w:rPr>
          <w:lang w:val="it-IT"/>
        </w:rPr>
        <w:t>ticinque anni in su, quali non v</w:t>
      </w:r>
      <w:r>
        <w:rPr>
          <w:lang w:val="it-IT"/>
        </w:rPr>
        <w:t>i si possino trattenere se non sino all’ave maria delle ventiquattro ore, né vi si possa giu</w:t>
      </w:r>
      <w:r w:rsidR="00F43E67">
        <w:rPr>
          <w:lang w:val="it-IT"/>
        </w:rPr>
        <w:t>ocare ad altro, che a Germini, e</w:t>
      </w:r>
      <w:r>
        <w:rPr>
          <w:lang w:val="it-IT"/>
        </w:rPr>
        <w:t xml:space="preserve"> Tarocchi, come di sopra, &amp; </w:t>
      </w:r>
      <w:r>
        <w:rPr>
          <w:lang w:val="it-IT"/>
        </w:rPr>
        <w:lastRenderedPageBreak/>
        <w:t>alle pallottole</w:t>
      </w:r>
      <w:r w:rsidR="007E7D9D">
        <w:rPr>
          <w:lang w:val="it-IT"/>
        </w:rPr>
        <w:t xml:space="preserve"> sotto le medesime</w:t>
      </w:r>
      <w:r>
        <w:rPr>
          <w:lang w:val="it-IT"/>
        </w:rPr>
        <w:t xml:space="preserve"> pene, e pregiudizi</w:t>
      </w:r>
      <w:r w:rsidR="007E7D9D">
        <w:rPr>
          <w:lang w:val="it-IT"/>
        </w:rPr>
        <w:t>, che nel suddetto Decreto si co</w:t>
      </w:r>
      <w:r>
        <w:rPr>
          <w:lang w:val="it-IT"/>
        </w:rPr>
        <w:t>ntengono, &amp;</w:t>
      </w:r>
      <w:r w:rsidR="007E7D9D">
        <w:rPr>
          <w:lang w:val="it-IT"/>
        </w:rPr>
        <w:t xml:space="preserve"> all’Ortolano che tiene il giuoco di Stinche, di fune, di Confini,</w:t>
      </w:r>
      <w:r w:rsidR="00F43E67">
        <w:rPr>
          <w:lang w:val="it-IT"/>
        </w:rPr>
        <w:t xml:space="preserve"> &amp; altre pene a dichiara</w:t>
      </w:r>
      <w:r w:rsidR="007E7D9D">
        <w:rPr>
          <w:lang w:val="it-IT"/>
        </w:rPr>
        <w:t>zione del Magistrato sino alla Galera inclusive.</w:t>
      </w:r>
    </w:p>
    <w:p w:rsidR="007E7D9D" w:rsidRDefault="00F43E67" w:rsidP="00DE19EA">
      <w:pPr>
        <w:rPr>
          <w:lang w:val="it-IT"/>
        </w:rPr>
      </w:pPr>
      <w:r>
        <w:rPr>
          <w:lang w:val="it-IT"/>
        </w:rPr>
        <w:t>Donato Rof</w:t>
      </w:r>
      <w:r w:rsidR="007E7D9D">
        <w:rPr>
          <w:lang w:val="it-IT"/>
        </w:rPr>
        <w:t xml:space="preserve">ia Cancelliere demandato </w:t>
      </w:r>
      <w:r>
        <w:rPr>
          <w:lang w:val="it-IT"/>
        </w:rPr>
        <w:t>ss.</w:t>
      </w:r>
    </w:p>
    <w:p w:rsidR="007E7D9D" w:rsidRDefault="003879A4" w:rsidP="00DE19EA">
      <w:pPr>
        <w:rPr>
          <w:lang w:val="it-IT"/>
        </w:rPr>
      </w:pPr>
      <w:r>
        <w:rPr>
          <w:lang w:val="it-IT"/>
        </w:rPr>
        <w:t>Ba</w:t>
      </w:r>
      <w:r w:rsidR="007E7D9D">
        <w:rPr>
          <w:lang w:val="it-IT"/>
        </w:rPr>
        <w:t>ndito per me Francesco Guidalotti</w:t>
      </w:r>
      <w:r w:rsidR="00F43E67">
        <w:rPr>
          <w:lang w:val="it-IT"/>
        </w:rPr>
        <w:t xml:space="preserve"> Banditore questo dì 20. d</w:t>
      </w:r>
      <w:r w:rsidR="007E7D9D">
        <w:rPr>
          <w:lang w:val="it-IT"/>
        </w:rPr>
        <w:t>i Giugno 1606.</w:t>
      </w:r>
    </w:p>
    <w:p w:rsidR="007E7D9D" w:rsidRPr="00DE19EA" w:rsidRDefault="007E7D9D" w:rsidP="00DE19EA">
      <w:pPr>
        <w:rPr>
          <w:lang w:val="it-IT"/>
        </w:rPr>
      </w:pPr>
    </w:p>
    <w:p w:rsidR="007E7D9D" w:rsidRPr="007E7D9D" w:rsidRDefault="00672AFA" w:rsidP="000152F6">
      <w:pPr>
        <w:rPr>
          <w:lang w:val="it-IT"/>
        </w:rPr>
      </w:pPr>
      <w:r>
        <w:rPr>
          <w:lang w:val="it-IT"/>
        </w:rPr>
        <w:t>A</w:t>
      </w:r>
      <w:r w:rsidR="007E7D9D">
        <w:rPr>
          <w:lang w:val="it-IT"/>
        </w:rPr>
        <w:t>2</w:t>
      </w:r>
      <w:r>
        <w:rPr>
          <w:lang w:val="it-IT"/>
        </w:rPr>
        <w:t>:</w:t>
      </w:r>
      <w:r w:rsidR="007E7D9D">
        <w:rPr>
          <w:lang w:val="it-IT"/>
        </w:rPr>
        <w:t xml:space="preserve"> </w:t>
      </w:r>
      <w:r w:rsidR="007E7D9D" w:rsidRPr="007E7D9D">
        <w:rPr>
          <w:lang w:val="it-IT"/>
        </w:rPr>
        <w:t>Adì 3. Gennaio 1692</w:t>
      </w:r>
      <w:r w:rsidR="00F43E67">
        <w:rPr>
          <w:lang w:val="it-IT"/>
        </w:rPr>
        <w:t>.</w:t>
      </w:r>
      <w:r w:rsidR="007E7D9D" w:rsidRPr="007E7D9D">
        <w:rPr>
          <w:lang w:val="it-IT"/>
        </w:rPr>
        <w:t xml:space="preserve"> (=1693)</w:t>
      </w:r>
    </w:p>
    <w:p w:rsidR="007E7D9D" w:rsidRDefault="007E7D9D" w:rsidP="000152F6">
      <w:pPr>
        <w:rPr>
          <w:lang w:val="it-IT"/>
        </w:rPr>
      </w:pPr>
      <w:r w:rsidRPr="007E7D9D">
        <w:rPr>
          <w:lang w:val="it-IT"/>
        </w:rPr>
        <w:t>Gli spettabili Signori Otto di Gardia, e Bal</w:t>
      </w:r>
      <w:r w:rsidR="00F43E67">
        <w:rPr>
          <w:lang w:val="it-IT"/>
        </w:rPr>
        <w:t>i</w:t>
      </w:r>
      <w:r>
        <w:rPr>
          <w:lang w:val="it-IT"/>
        </w:rPr>
        <w:t>a della Città di Firenze d’espresso Comandamento d</w:t>
      </w:r>
      <w:r w:rsidR="00F43E67">
        <w:rPr>
          <w:lang w:val="it-IT"/>
        </w:rPr>
        <w:t>i S.A.S. fanno notificare, e Pu</w:t>
      </w:r>
      <w:r>
        <w:rPr>
          <w:lang w:val="it-IT"/>
        </w:rPr>
        <w:t>blicamente</w:t>
      </w:r>
      <w:r w:rsidR="009115E3">
        <w:rPr>
          <w:lang w:val="it-IT"/>
        </w:rPr>
        <w:t xml:space="preserve"> </w:t>
      </w:r>
      <w:r>
        <w:rPr>
          <w:lang w:val="it-IT"/>
        </w:rPr>
        <w:t>intendere a tutti i Barbieri, Stufaioli, &amp; altre persone di qualsivoglia Stato, Grado, e Condizione, che avessero in qualunque modo facultà di tenere nelle loro Botteghe Stanze Arcadie, o A</w:t>
      </w:r>
      <w:r w:rsidR="00F43E67">
        <w:rPr>
          <w:lang w:val="it-IT"/>
        </w:rPr>
        <w:t>c</w:t>
      </w:r>
      <w:r>
        <w:rPr>
          <w:lang w:val="it-IT"/>
        </w:rPr>
        <w:t>cademie il Gioco delle minchiate, che in avveni</w:t>
      </w:r>
      <w:r w:rsidR="00F43E67">
        <w:rPr>
          <w:lang w:val="it-IT"/>
        </w:rPr>
        <w:t>re doppo la Publicazi</w:t>
      </w:r>
      <w:r>
        <w:rPr>
          <w:lang w:val="it-IT"/>
        </w:rPr>
        <w:t xml:space="preserve">one del presente Bando non siano arditi di ritenere tal Gioco, o dar comodità di giocare doppo il suono della Campana dell’Arme, sotto Pena </w:t>
      </w:r>
      <w:r w:rsidR="00BD15E5">
        <w:rPr>
          <w:lang w:val="it-IT"/>
        </w:rPr>
        <w:t>tanto a loro, che a quelli che vi giocassero doppo a detto suono della Cattura &amp; Arbitrio rigoroso, e tutto mandantes &amp;c.</w:t>
      </w:r>
    </w:p>
    <w:p w:rsidR="00BD15E5" w:rsidRDefault="00BD15E5" w:rsidP="000152F6">
      <w:pPr>
        <w:rPr>
          <w:lang w:val="it-IT"/>
        </w:rPr>
      </w:pPr>
      <w:r>
        <w:rPr>
          <w:lang w:val="it-IT"/>
        </w:rPr>
        <w:t>Gio. Silvio Caterini Cancelliere Maggiore</w:t>
      </w:r>
    </w:p>
    <w:p w:rsidR="00BD15E5" w:rsidRDefault="00BD15E5" w:rsidP="000152F6">
      <w:pPr>
        <w:rPr>
          <w:lang w:val="it-IT"/>
        </w:rPr>
      </w:pPr>
      <w:r>
        <w:rPr>
          <w:lang w:val="it-IT"/>
        </w:rPr>
        <w:t>Bandito da me Giuseppe</w:t>
      </w:r>
      <w:r w:rsidR="00F43E67">
        <w:rPr>
          <w:lang w:val="it-IT"/>
        </w:rPr>
        <w:t xml:space="preserve"> Palmieri Pubblico Banditore ne</w:t>
      </w:r>
      <w:r>
        <w:rPr>
          <w:lang w:val="it-IT"/>
        </w:rPr>
        <w:t xml:space="preserve"> luoghi soliti questo di 3.</w:t>
      </w:r>
      <w:r w:rsidR="00F43E67">
        <w:rPr>
          <w:lang w:val="it-IT"/>
        </w:rPr>
        <w:t xml:space="preserve"> </w:t>
      </w:r>
      <w:r>
        <w:rPr>
          <w:lang w:val="it-IT"/>
        </w:rPr>
        <w:t>Gennaio 1692</w:t>
      </w:r>
      <w:r w:rsidR="00F43E67">
        <w:rPr>
          <w:lang w:val="it-IT"/>
        </w:rPr>
        <w:t>.</w:t>
      </w:r>
      <w:r w:rsidR="00672AFA">
        <w:rPr>
          <w:lang w:val="it-IT"/>
        </w:rPr>
        <w:t xml:space="preserve"> </w:t>
      </w:r>
      <w:r>
        <w:rPr>
          <w:lang w:val="it-IT"/>
        </w:rPr>
        <w:t>(=1693).</w:t>
      </w:r>
    </w:p>
    <w:p w:rsidR="00BD15E5" w:rsidRPr="007E7D9D" w:rsidRDefault="00BD15E5" w:rsidP="000152F6">
      <w:pPr>
        <w:rPr>
          <w:lang w:val="it-IT"/>
        </w:rPr>
      </w:pPr>
      <w:r>
        <w:rPr>
          <w:lang w:val="it-IT"/>
        </w:rPr>
        <w:t>In Firenze</w:t>
      </w:r>
      <w:r w:rsidR="00F43E67">
        <w:rPr>
          <w:lang w:val="it-IT"/>
        </w:rPr>
        <w:t xml:space="preserve"> / </w:t>
      </w:r>
      <w:r>
        <w:rPr>
          <w:lang w:val="it-IT"/>
        </w:rPr>
        <w:t>Nella Stamperia di S.A.S. alla Condotta Per Antonio Navesi 1692</w:t>
      </w:r>
      <w:r w:rsidR="00672AFA">
        <w:rPr>
          <w:lang w:val="it-IT"/>
        </w:rPr>
        <w:t xml:space="preserve"> </w:t>
      </w:r>
      <w:r>
        <w:rPr>
          <w:lang w:val="it-IT"/>
        </w:rPr>
        <w:t>(=1693)</w:t>
      </w:r>
      <w:r w:rsidR="00F43E67">
        <w:rPr>
          <w:lang w:val="it-IT"/>
        </w:rPr>
        <w:t xml:space="preserve"> / </w:t>
      </w:r>
      <w:r w:rsidR="00A93F81">
        <w:rPr>
          <w:lang w:val="it-IT"/>
        </w:rPr>
        <w:t>Con</w:t>
      </w:r>
      <w:r w:rsidR="00F43E67">
        <w:rPr>
          <w:lang w:val="it-IT"/>
        </w:rPr>
        <w:t xml:space="preserve"> Licenza de</w:t>
      </w:r>
      <w:r>
        <w:rPr>
          <w:lang w:val="it-IT"/>
        </w:rPr>
        <w:t xml:space="preserve"> Superiori.</w:t>
      </w:r>
    </w:p>
    <w:p w:rsidR="000152F6" w:rsidRDefault="000152F6" w:rsidP="000152F6">
      <w:pPr>
        <w:rPr>
          <w:lang w:val="it-IT"/>
        </w:rPr>
      </w:pPr>
    </w:p>
    <w:p w:rsidR="00C57271" w:rsidRPr="00244A8D" w:rsidRDefault="00C57271" w:rsidP="00C57271">
      <w:pPr>
        <w:pStyle w:val="Heading2"/>
      </w:pPr>
      <w:r w:rsidRPr="00244A8D">
        <w:t>Notes</w:t>
      </w:r>
    </w:p>
    <w:p w:rsidR="00114152" w:rsidRPr="00244A8D" w:rsidRDefault="00114152"/>
    <w:p w:rsidR="00F43E67" w:rsidRPr="00244A8D" w:rsidRDefault="00F43E67" w:rsidP="00F43E67">
      <w:pPr>
        <w:pStyle w:val="EndnoteText"/>
        <w:ind w:left="284" w:hanging="284"/>
        <w:rPr>
          <w:sz w:val="24"/>
          <w:szCs w:val="24"/>
        </w:rPr>
      </w:pPr>
      <w:r w:rsidRPr="00244A8D">
        <w:rPr>
          <w:sz w:val="24"/>
          <w:szCs w:val="24"/>
        </w:rPr>
        <w:t xml:space="preserve">(1) </w:t>
      </w:r>
      <w:hyperlink r:id="rId8" w:history="1">
        <w:r w:rsidRPr="00244A8D">
          <w:rPr>
            <w:rStyle w:val="Hyperlink"/>
            <w:sz w:val="24"/>
            <w:szCs w:val="24"/>
          </w:rPr>
          <w:t>http://trionfi.com/evx-minchiate-export-tuscany</w:t>
        </w:r>
      </w:hyperlink>
      <w:r w:rsidRPr="00244A8D">
        <w:rPr>
          <w:sz w:val="24"/>
          <w:szCs w:val="24"/>
        </w:rPr>
        <w:t xml:space="preserve"> </w:t>
      </w:r>
    </w:p>
    <w:p w:rsidR="00F43E67" w:rsidRPr="00114152" w:rsidRDefault="00F43E67" w:rsidP="00F43E67">
      <w:pPr>
        <w:pStyle w:val="EndnoteText"/>
        <w:ind w:left="284" w:hanging="284"/>
        <w:rPr>
          <w:sz w:val="24"/>
          <w:szCs w:val="24"/>
          <w:lang w:val="it-IT"/>
        </w:rPr>
      </w:pPr>
      <w:r>
        <w:rPr>
          <w:sz w:val="24"/>
          <w:szCs w:val="24"/>
          <w:lang w:val="it-IT"/>
        </w:rPr>
        <w:t xml:space="preserve">(2) </w:t>
      </w:r>
      <w:r w:rsidR="00244A8D">
        <w:rPr>
          <w:sz w:val="24"/>
          <w:szCs w:val="24"/>
          <w:lang w:val="it-IT"/>
        </w:rPr>
        <w:t>ASFI</w:t>
      </w:r>
      <w:r w:rsidRPr="00114152">
        <w:rPr>
          <w:sz w:val="24"/>
          <w:szCs w:val="24"/>
          <w:lang w:val="it-IT"/>
        </w:rPr>
        <w:t xml:space="preserve">, </w:t>
      </w:r>
      <w:r w:rsidRPr="00803AE1">
        <w:rPr>
          <w:i/>
          <w:sz w:val="24"/>
          <w:szCs w:val="24"/>
          <w:lang w:val="it-IT"/>
        </w:rPr>
        <w:t>Consulta poi Regia Consulta, prima serie</w:t>
      </w:r>
      <w:r w:rsidRPr="00114152">
        <w:rPr>
          <w:sz w:val="24"/>
          <w:szCs w:val="24"/>
          <w:lang w:val="it-IT"/>
        </w:rPr>
        <w:t>, Pezzo: 46.</w:t>
      </w:r>
      <w:r>
        <w:rPr>
          <w:sz w:val="24"/>
          <w:szCs w:val="24"/>
          <w:lang w:val="it-IT"/>
        </w:rPr>
        <w:t xml:space="preserve"> </w:t>
      </w:r>
      <w:r w:rsidRPr="009115E3">
        <w:rPr>
          <w:sz w:val="24"/>
          <w:szCs w:val="24"/>
          <w:lang w:val="it-IT"/>
        </w:rPr>
        <w:t>No. 54</w:t>
      </w:r>
      <w:r>
        <w:rPr>
          <w:sz w:val="24"/>
          <w:szCs w:val="24"/>
          <w:lang w:val="it-IT"/>
        </w:rPr>
        <w:t xml:space="preserve"> </w:t>
      </w:r>
      <w:r w:rsidRPr="009115E3">
        <w:rPr>
          <w:sz w:val="24"/>
          <w:szCs w:val="24"/>
          <w:lang w:val="it-IT"/>
        </w:rPr>
        <w:t>(</w:t>
      </w:r>
      <w:r w:rsidRPr="00F43E67">
        <w:rPr>
          <w:sz w:val="24"/>
          <w:szCs w:val="24"/>
          <w:lang w:val="it-IT"/>
        </w:rPr>
        <w:t>pencilled</w:t>
      </w:r>
      <w:r w:rsidRPr="009115E3">
        <w:rPr>
          <w:sz w:val="24"/>
          <w:szCs w:val="24"/>
          <w:lang w:val="it-IT"/>
        </w:rPr>
        <w:t>).</w:t>
      </w:r>
      <w:r w:rsidRPr="00114152">
        <w:rPr>
          <w:sz w:val="24"/>
          <w:szCs w:val="24"/>
          <w:lang w:val="it-IT"/>
        </w:rPr>
        <w:t xml:space="preserve"> (</w:t>
      </w:r>
      <w:r w:rsidRPr="00803AE1">
        <w:rPr>
          <w:i/>
          <w:sz w:val="24"/>
          <w:szCs w:val="24"/>
          <w:lang w:val="it-IT"/>
        </w:rPr>
        <w:t>Leggi di Toscana riguardanti Affari di Polizzia</w:t>
      </w:r>
      <w:r w:rsidRPr="00114152">
        <w:rPr>
          <w:sz w:val="24"/>
          <w:szCs w:val="24"/>
          <w:lang w:val="it-IT"/>
        </w:rPr>
        <w:t xml:space="preserve">. </w:t>
      </w:r>
      <w:r>
        <w:rPr>
          <w:sz w:val="24"/>
          <w:szCs w:val="24"/>
          <w:lang w:val="it-IT"/>
        </w:rPr>
        <w:t>Classe VII. II, 1606.)</w:t>
      </w:r>
    </w:p>
    <w:p w:rsidR="00F43E67" w:rsidRPr="009115E3" w:rsidRDefault="00F43E67" w:rsidP="00F43E67">
      <w:pPr>
        <w:ind w:left="284" w:hanging="284"/>
        <w:rPr>
          <w:szCs w:val="24"/>
          <w:lang w:val="it-IT"/>
        </w:rPr>
      </w:pPr>
      <w:r>
        <w:rPr>
          <w:szCs w:val="24"/>
          <w:lang w:val="it-IT"/>
        </w:rPr>
        <w:t xml:space="preserve"> (3)</w:t>
      </w:r>
      <w:r w:rsidR="00AE302F">
        <w:rPr>
          <w:szCs w:val="24"/>
          <w:lang w:val="it-IT"/>
        </w:rPr>
        <w:t xml:space="preserve"> </w:t>
      </w:r>
      <w:r w:rsidRPr="00114152">
        <w:rPr>
          <w:szCs w:val="24"/>
          <w:lang w:val="it-IT"/>
        </w:rPr>
        <w:t xml:space="preserve">Lorenzo Cantini, </w:t>
      </w:r>
      <w:r w:rsidRPr="00244A8D">
        <w:rPr>
          <w:i/>
          <w:szCs w:val="24"/>
          <w:lang w:val="it-IT"/>
        </w:rPr>
        <w:t>Legislazione toscana raccolta e illustrata</w:t>
      </w:r>
      <w:r>
        <w:rPr>
          <w:szCs w:val="24"/>
          <w:lang w:val="it-IT"/>
        </w:rPr>
        <w:t>. Firenze, 1804</w:t>
      </w:r>
      <w:r w:rsidRPr="00114152">
        <w:rPr>
          <w:szCs w:val="24"/>
          <w:lang w:val="it-IT"/>
        </w:rPr>
        <w:t xml:space="preserve">, </w:t>
      </w:r>
      <w:r>
        <w:rPr>
          <w:szCs w:val="24"/>
          <w:lang w:val="it-IT"/>
        </w:rPr>
        <w:t>Tomo</w:t>
      </w:r>
      <w:r w:rsidRPr="00114152">
        <w:rPr>
          <w:szCs w:val="24"/>
          <w:lang w:val="it-IT"/>
        </w:rPr>
        <w:t xml:space="preserve">. </w:t>
      </w:r>
      <w:r w:rsidRPr="009115E3">
        <w:rPr>
          <w:szCs w:val="24"/>
          <w:lang w:val="it-IT"/>
        </w:rPr>
        <w:t>XIV, p</w:t>
      </w:r>
      <w:r w:rsidR="00803AE1">
        <w:rPr>
          <w:szCs w:val="24"/>
          <w:lang w:val="it-IT"/>
        </w:rPr>
        <w:t>p</w:t>
      </w:r>
      <w:r w:rsidRPr="009115E3">
        <w:rPr>
          <w:szCs w:val="24"/>
          <w:lang w:val="it-IT"/>
        </w:rPr>
        <w:t>. 316-17.</w:t>
      </w:r>
    </w:p>
    <w:p w:rsidR="00F43E67" w:rsidRDefault="00F43E67" w:rsidP="00F43E67">
      <w:pPr>
        <w:ind w:left="284" w:hanging="284"/>
      </w:pPr>
      <w:r>
        <w:rPr>
          <w:szCs w:val="24"/>
          <w:lang w:val="it-IT"/>
        </w:rPr>
        <w:t>(4)</w:t>
      </w:r>
      <w:r w:rsidRPr="00114152">
        <w:rPr>
          <w:szCs w:val="24"/>
          <w:lang w:val="it-IT"/>
        </w:rPr>
        <w:t xml:space="preserve"> </w:t>
      </w:r>
      <w:r w:rsidR="00244A8D">
        <w:rPr>
          <w:lang w:val="it-IT"/>
        </w:rPr>
        <w:t>ASFI</w:t>
      </w:r>
      <w:r w:rsidRPr="00114152">
        <w:rPr>
          <w:lang w:val="it-IT"/>
        </w:rPr>
        <w:t xml:space="preserve">, </w:t>
      </w:r>
      <w:r w:rsidRPr="00803AE1">
        <w:rPr>
          <w:i/>
          <w:lang w:val="it-IT"/>
        </w:rPr>
        <w:t>Consulta poi Regia Consulta, prima serie</w:t>
      </w:r>
      <w:r w:rsidRPr="00114152">
        <w:rPr>
          <w:lang w:val="it-IT"/>
        </w:rPr>
        <w:t xml:space="preserve">, Pezzo: 30. </w:t>
      </w:r>
      <w:r w:rsidRPr="00114152">
        <w:t>Bando No. 49 (pencil</w:t>
      </w:r>
      <w:r>
        <w:t>led</w:t>
      </w:r>
      <w:r w:rsidRPr="00114152">
        <w:t>)</w:t>
      </w:r>
      <w:r>
        <w:t>.</w:t>
      </w:r>
    </w:p>
    <w:p w:rsidR="00F43E67" w:rsidRPr="00F43E67" w:rsidRDefault="00F43E67" w:rsidP="00F43E67">
      <w:pPr>
        <w:ind w:left="284" w:hanging="284"/>
      </w:pPr>
      <w:r>
        <w:rPr>
          <w:szCs w:val="24"/>
        </w:rPr>
        <w:t>(5</w:t>
      </w:r>
      <w:r w:rsidRPr="00F43E67">
        <w:rPr>
          <w:szCs w:val="24"/>
        </w:rPr>
        <w:t xml:space="preserve">) </w:t>
      </w:r>
      <w:r>
        <w:rPr>
          <w:szCs w:val="24"/>
        </w:rPr>
        <w:t>F</w:t>
      </w:r>
      <w:r w:rsidRPr="00114152">
        <w:rPr>
          <w:szCs w:val="24"/>
        </w:rPr>
        <w:t xml:space="preserve">ranco Pratesi, </w:t>
      </w:r>
      <w:r w:rsidRPr="00803AE1">
        <w:rPr>
          <w:i/>
          <w:szCs w:val="24"/>
        </w:rPr>
        <w:t>The Playing-Card</w:t>
      </w:r>
      <w:r w:rsidRPr="00114152">
        <w:rPr>
          <w:szCs w:val="24"/>
        </w:rPr>
        <w:t>, Vol. 40 No. 3 (2012) p</w:t>
      </w:r>
      <w:r w:rsidR="00803AE1">
        <w:rPr>
          <w:szCs w:val="24"/>
        </w:rPr>
        <w:t>p</w:t>
      </w:r>
      <w:r w:rsidRPr="00114152">
        <w:rPr>
          <w:szCs w:val="24"/>
        </w:rPr>
        <w:t>. 179-197</w:t>
      </w:r>
    </w:p>
    <w:p w:rsidR="00F43E67" w:rsidRDefault="00F43E67" w:rsidP="00F43E67">
      <w:pPr>
        <w:ind w:left="284" w:hanging="284"/>
      </w:pPr>
      <w:r>
        <w:rPr>
          <w:szCs w:val="24"/>
        </w:rPr>
        <w:t>(6</w:t>
      </w:r>
      <w:r w:rsidRPr="00F43E67">
        <w:rPr>
          <w:szCs w:val="24"/>
        </w:rPr>
        <w:t>)</w:t>
      </w:r>
      <w:r w:rsidR="00AE302F">
        <w:rPr>
          <w:szCs w:val="24"/>
        </w:rPr>
        <w:t xml:space="preserve"> </w:t>
      </w:r>
      <w:hyperlink r:id="rId9" w:history="1">
        <w:r w:rsidRPr="00114152">
          <w:rPr>
            <w:rStyle w:val="Hyperlink"/>
          </w:rPr>
          <w:t>http://trionfi.com/trumps-trionfi-tarots</w:t>
        </w:r>
      </w:hyperlink>
      <w:r>
        <w:t xml:space="preserve"> </w:t>
      </w:r>
    </w:p>
    <w:p w:rsidR="00803AE1" w:rsidRPr="00114152" w:rsidRDefault="00803AE1" w:rsidP="00F43E67">
      <w:pPr>
        <w:ind w:left="284" w:hanging="284"/>
      </w:pPr>
      <w:bookmarkStart w:id="0" w:name="_GoBack"/>
      <w:bookmarkEnd w:id="0"/>
    </w:p>
    <w:p w:rsidR="00F43E67" w:rsidRDefault="00F43E67"/>
    <w:p w:rsidR="00803AE1" w:rsidRDefault="00803AE1" w:rsidP="00803AE1">
      <w:pPr>
        <w:jc w:val="center"/>
      </w:pPr>
      <w:r>
        <w:rPr>
          <w:noProof/>
          <w:lang w:val="it-IT" w:eastAsia="it-IT"/>
        </w:rPr>
        <w:drawing>
          <wp:inline distT="0" distB="0" distL="0" distR="0">
            <wp:extent cx="4150903" cy="2920181"/>
            <wp:effectExtent l="0" t="0" r="2540" b="0"/>
            <wp:docPr id="1" name="Picture 1" descr="File:View of Ancient Florence by Fabio Borbottoni 1820-1902 (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View of Ancient Florence by Fabio Borbottoni 1820-1902 (6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3124" cy="2921743"/>
                    </a:xfrm>
                    <a:prstGeom prst="rect">
                      <a:avLst/>
                    </a:prstGeom>
                    <a:noFill/>
                    <a:ln>
                      <a:noFill/>
                    </a:ln>
                  </pic:spPr>
                </pic:pic>
              </a:graphicData>
            </a:graphic>
          </wp:inline>
        </w:drawing>
      </w:r>
    </w:p>
    <w:p w:rsidR="00803AE1" w:rsidRDefault="00803AE1" w:rsidP="00803AE1">
      <w:pPr>
        <w:jc w:val="center"/>
      </w:pPr>
    </w:p>
    <w:p w:rsidR="00803AE1" w:rsidRPr="00803AE1" w:rsidRDefault="00803AE1" w:rsidP="00803AE1">
      <w:pPr>
        <w:jc w:val="center"/>
        <w:rPr>
          <w:b/>
        </w:rPr>
      </w:pPr>
      <w:r w:rsidRPr="00803AE1">
        <w:rPr>
          <w:b/>
        </w:rPr>
        <w:t xml:space="preserve">Figure 1 </w:t>
      </w:r>
      <w:r w:rsidRPr="00803AE1">
        <w:rPr>
          <w:rFonts w:cs="Times New Roman"/>
          <w:b/>
        </w:rPr>
        <w:t>–</w:t>
      </w:r>
      <w:r w:rsidRPr="00803AE1">
        <w:rPr>
          <w:b/>
        </w:rPr>
        <w:t xml:space="preserve"> S. Maria </w:t>
      </w:r>
      <w:proofErr w:type="spellStart"/>
      <w:r w:rsidRPr="00803AE1">
        <w:rPr>
          <w:b/>
        </w:rPr>
        <w:t>Nuova</w:t>
      </w:r>
      <w:proofErr w:type="spellEnd"/>
      <w:r w:rsidRPr="00803AE1">
        <w:rPr>
          <w:b/>
        </w:rPr>
        <w:t xml:space="preserve">. View of Ancient Florence by Fabio </w:t>
      </w:r>
      <w:proofErr w:type="spellStart"/>
      <w:r w:rsidRPr="00803AE1">
        <w:rPr>
          <w:b/>
        </w:rPr>
        <w:t>Borbottoni</w:t>
      </w:r>
      <w:proofErr w:type="spellEnd"/>
      <w:r w:rsidRPr="00803AE1">
        <w:rPr>
          <w:b/>
        </w:rPr>
        <w:t xml:space="preserve"> 1820-1902. </w:t>
      </w:r>
    </w:p>
    <w:p w:rsidR="00803AE1" w:rsidRPr="00803AE1" w:rsidRDefault="00803AE1" w:rsidP="00803AE1">
      <w:pPr>
        <w:jc w:val="center"/>
        <w:rPr>
          <w:lang w:val="en"/>
        </w:rPr>
      </w:pPr>
      <w:r>
        <w:t>(from Wikimedia Commons)</w:t>
      </w:r>
    </w:p>
    <w:sectPr w:rsidR="00803AE1" w:rsidRPr="00803AE1" w:rsidSect="00B3480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50" w:rsidRDefault="00467C50" w:rsidP="00FE363B">
      <w:r>
        <w:separator/>
      </w:r>
    </w:p>
  </w:endnote>
  <w:endnote w:type="continuationSeparator" w:id="0">
    <w:p w:rsidR="00467C50" w:rsidRDefault="00467C50" w:rsidP="00FE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B7" w:rsidRDefault="007B3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B7" w:rsidRDefault="007B31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B7" w:rsidRDefault="007B3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50" w:rsidRDefault="00467C50" w:rsidP="00FE363B">
      <w:r>
        <w:separator/>
      </w:r>
    </w:p>
  </w:footnote>
  <w:footnote w:type="continuationSeparator" w:id="0">
    <w:p w:rsidR="00467C50" w:rsidRDefault="00467C50" w:rsidP="00FE3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B7" w:rsidRDefault="007B3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B7" w:rsidRDefault="007B31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B7" w:rsidRDefault="007B3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52"/>
    <w:rsid w:val="000152F6"/>
    <w:rsid w:val="00015354"/>
    <w:rsid w:val="00052974"/>
    <w:rsid w:val="00061BF8"/>
    <w:rsid w:val="00085D5B"/>
    <w:rsid w:val="000B0D51"/>
    <w:rsid w:val="000B6C56"/>
    <w:rsid w:val="000F48C8"/>
    <w:rsid w:val="00114152"/>
    <w:rsid w:val="00164E4F"/>
    <w:rsid w:val="00170D97"/>
    <w:rsid w:val="0019100E"/>
    <w:rsid w:val="001F7D58"/>
    <w:rsid w:val="00244A8D"/>
    <w:rsid w:val="00271294"/>
    <w:rsid w:val="00290A58"/>
    <w:rsid w:val="002A3752"/>
    <w:rsid w:val="002C6C25"/>
    <w:rsid w:val="002F32B7"/>
    <w:rsid w:val="0030663A"/>
    <w:rsid w:val="003161E0"/>
    <w:rsid w:val="003401BC"/>
    <w:rsid w:val="00346836"/>
    <w:rsid w:val="00350B4C"/>
    <w:rsid w:val="00350F90"/>
    <w:rsid w:val="00374EF3"/>
    <w:rsid w:val="003879A4"/>
    <w:rsid w:val="003A44E3"/>
    <w:rsid w:val="003E4527"/>
    <w:rsid w:val="00403166"/>
    <w:rsid w:val="00417DE5"/>
    <w:rsid w:val="00437A2D"/>
    <w:rsid w:val="00467C50"/>
    <w:rsid w:val="00481904"/>
    <w:rsid w:val="004876AC"/>
    <w:rsid w:val="00493F65"/>
    <w:rsid w:val="004A51CD"/>
    <w:rsid w:val="004B636B"/>
    <w:rsid w:val="004E1122"/>
    <w:rsid w:val="005242C3"/>
    <w:rsid w:val="0057057F"/>
    <w:rsid w:val="00592D9C"/>
    <w:rsid w:val="005B2D4C"/>
    <w:rsid w:val="005C1592"/>
    <w:rsid w:val="005C7392"/>
    <w:rsid w:val="005D5CC0"/>
    <w:rsid w:val="005E3D72"/>
    <w:rsid w:val="0060642C"/>
    <w:rsid w:val="0062248C"/>
    <w:rsid w:val="006520D2"/>
    <w:rsid w:val="00653424"/>
    <w:rsid w:val="00672AFA"/>
    <w:rsid w:val="00673729"/>
    <w:rsid w:val="006B5766"/>
    <w:rsid w:val="006C79E4"/>
    <w:rsid w:val="006E28FB"/>
    <w:rsid w:val="006E356B"/>
    <w:rsid w:val="006E3FD4"/>
    <w:rsid w:val="006E5FC5"/>
    <w:rsid w:val="006F3A90"/>
    <w:rsid w:val="006F7A74"/>
    <w:rsid w:val="00700C1B"/>
    <w:rsid w:val="007040CC"/>
    <w:rsid w:val="00716F18"/>
    <w:rsid w:val="007275D9"/>
    <w:rsid w:val="00746FAB"/>
    <w:rsid w:val="007571E3"/>
    <w:rsid w:val="00767F7F"/>
    <w:rsid w:val="00792775"/>
    <w:rsid w:val="007A24EA"/>
    <w:rsid w:val="007B31B7"/>
    <w:rsid w:val="007C5B52"/>
    <w:rsid w:val="007E7D9D"/>
    <w:rsid w:val="00802138"/>
    <w:rsid w:val="00803AE1"/>
    <w:rsid w:val="008106B9"/>
    <w:rsid w:val="0081170F"/>
    <w:rsid w:val="008354CD"/>
    <w:rsid w:val="008632CD"/>
    <w:rsid w:val="00880A5F"/>
    <w:rsid w:val="008B077A"/>
    <w:rsid w:val="008B3763"/>
    <w:rsid w:val="008C1B33"/>
    <w:rsid w:val="008D31AF"/>
    <w:rsid w:val="008E7270"/>
    <w:rsid w:val="009055D9"/>
    <w:rsid w:val="009115E3"/>
    <w:rsid w:val="00923495"/>
    <w:rsid w:val="0094597C"/>
    <w:rsid w:val="0096731F"/>
    <w:rsid w:val="00971C31"/>
    <w:rsid w:val="009865F2"/>
    <w:rsid w:val="0099099A"/>
    <w:rsid w:val="009A4B75"/>
    <w:rsid w:val="009C2F2C"/>
    <w:rsid w:val="009D1211"/>
    <w:rsid w:val="009E1365"/>
    <w:rsid w:val="00A06E48"/>
    <w:rsid w:val="00A56B4D"/>
    <w:rsid w:val="00A64F12"/>
    <w:rsid w:val="00A93F81"/>
    <w:rsid w:val="00AA07DC"/>
    <w:rsid w:val="00AA4A4D"/>
    <w:rsid w:val="00AE302F"/>
    <w:rsid w:val="00B34803"/>
    <w:rsid w:val="00B35230"/>
    <w:rsid w:val="00B404BB"/>
    <w:rsid w:val="00B64B79"/>
    <w:rsid w:val="00B721C8"/>
    <w:rsid w:val="00B800E2"/>
    <w:rsid w:val="00BB0DC7"/>
    <w:rsid w:val="00BB5B6C"/>
    <w:rsid w:val="00BD15E5"/>
    <w:rsid w:val="00BE0047"/>
    <w:rsid w:val="00BF6A36"/>
    <w:rsid w:val="00C26C6D"/>
    <w:rsid w:val="00C406B5"/>
    <w:rsid w:val="00C503A0"/>
    <w:rsid w:val="00C57271"/>
    <w:rsid w:val="00C66186"/>
    <w:rsid w:val="00C74D71"/>
    <w:rsid w:val="00CB135D"/>
    <w:rsid w:val="00CE6D01"/>
    <w:rsid w:val="00CF5A88"/>
    <w:rsid w:val="00D021C5"/>
    <w:rsid w:val="00D062E2"/>
    <w:rsid w:val="00D2656B"/>
    <w:rsid w:val="00D537F1"/>
    <w:rsid w:val="00D90A41"/>
    <w:rsid w:val="00DB685C"/>
    <w:rsid w:val="00DD0A24"/>
    <w:rsid w:val="00DD354D"/>
    <w:rsid w:val="00DE19EA"/>
    <w:rsid w:val="00DE3297"/>
    <w:rsid w:val="00DE789B"/>
    <w:rsid w:val="00DF1688"/>
    <w:rsid w:val="00DF6D52"/>
    <w:rsid w:val="00E848CA"/>
    <w:rsid w:val="00EB13DC"/>
    <w:rsid w:val="00EB232A"/>
    <w:rsid w:val="00ED0BDE"/>
    <w:rsid w:val="00ED6A9D"/>
    <w:rsid w:val="00EE6A05"/>
    <w:rsid w:val="00F13754"/>
    <w:rsid w:val="00F16067"/>
    <w:rsid w:val="00F321B2"/>
    <w:rsid w:val="00F43E67"/>
    <w:rsid w:val="00F54924"/>
    <w:rsid w:val="00F77F63"/>
    <w:rsid w:val="00F8105F"/>
    <w:rsid w:val="00FB690A"/>
    <w:rsid w:val="00FC19B2"/>
    <w:rsid w:val="00FE363B"/>
    <w:rsid w:val="00FE66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33"/>
    <w:rPr>
      <w:rFonts w:ascii="Times New Roman" w:hAnsi="Times New Roman"/>
      <w:sz w:val="24"/>
      <w:lang w:val="en-GB"/>
    </w:rPr>
  </w:style>
  <w:style w:type="paragraph" w:styleId="Heading1">
    <w:name w:val="heading 1"/>
    <w:basedOn w:val="Normal"/>
    <w:next w:val="Normal"/>
    <w:link w:val="Heading1Char"/>
    <w:uiPriority w:val="9"/>
    <w:qFormat/>
    <w:rsid w:val="00BF6A36"/>
    <w:pPr>
      <w:keepNext/>
      <w:keepLines/>
      <w:ind w:firstLine="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C1B33"/>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B33"/>
    <w:rPr>
      <w:rFonts w:ascii="Times New Roman" w:eastAsiaTheme="majorEastAsia" w:hAnsi="Times New Roman" w:cstheme="majorBidi"/>
      <w:b/>
      <w:bCs/>
      <w:color w:val="000000" w:themeColor="text1"/>
      <w:sz w:val="24"/>
      <w:szCs w:val="26"/>
      <w:lang w:val="en-GB"/>
    </w:rPr>
  </w:style>
  <w:style w:type="character" w:customStyle="1" w:styleId="Heading1Char">
    <w:name w:val="Heading 1 Char"/>
    <w:basedOn w:val="DefaultParagraphFont"/>
    <w:link w:val="Heading1"/>
    <w:uiPriority w:val="9"/>
    <w:rsid w:val="00BF6A36"/>
    <w:rPr>
      <w:rFonts w:ascii="Times New Roman" w:eastAsiaTheme="majorEastAsia" w:hAnsi="Times New Roman" w:cstheme="majorBidi"/>
      <w:b/>
      <w:bCs/>
      <w:color w:val="000000" w:themeColor="text1"/>
      <w:sz w:val="24"/>
      <w:szCs w:val="28"/>
      <w:lang w:val="en-GB"/>
    </w:rPr>
  </w:style>
  <w:style w:type="table" w:styleId="TableGrid">
    <w:name w:val="Table Grid"/>
    <w:basedOn w:val="TableNormal"/>
    <w:uiPriority w:val="59"/>
    <w:rsid w:val="004A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E363B"/>
    <w:rPr>
      <w:sz w:val="20"/>
      <w:szCs w:val="20"/>
    </w:rPr>
  </w:style>
  <w:style w:type="character" w:customStyle="1" w:styleId="EndnoteTextChar">
    <w:name w:val="Endnote Text Char"/>
    <w:basedOn w:val="DefaultParagraphFont"/>
    <w:link w:val="EndnoteText"/>
    <w:uiPriority w:val="99"/>
    <w:semiHidden/>
    <w:rsid w:val="00FE363B"/>
    <w:rPr>
      <w:rFonts w:ascii="Times New Roman" w:hAnsi="Times New Roman"/>
      <w:sz w:val="20"/>
      <w:szCs w:val="20"/>
      <w:lang w:val="en-GB"/>
    </w:rPr>
  </w:style>
  <w:style w:type="character" w:styleId="EndnoteReference">
    <w:name w:val="endnote reference"/>
    <w:basedOn w:val="DefaultParagraphFont"/>
    <w:uiPriority w:val="99"/>
    <w:semiHidden/>
    <w:unhideWhenUsed/>
    <w:rsid w:val="00FE363B"/>
    <w:rPr>
      <w:vertAlign w:val="superscript"/>
    </w:rPr>
  </w:style>
  <w:style w:type="paragraph" w:styleId="Header">
    <w:name w:val="header"/>
    <w:basedOn w:val="Normal"/>
    <w:link w:val="HeaderChar"/>
    <w:uiPriority w:val="99"/>
    <w:unhideWhenUsed/>
    <w:rsid w:val="00B35230"/>
    <w:pPr>
      <w:tabs>
        <w:tab w:val="center" w:pos="4819"/>
        <w:tab w:val="right" w:pos="9638"/>
      </w:tabs>
    </w:pPr>
  </w:style>
  <w:style w:type="character" w:customStyle="1" w:styleId="HeaderChar">
    <w:name w:val="Header Char"/>
    <w:basedOn w:val="DefaultParagraphFont"/>
    <w:link w:val="Header"/>
    <w:uiPriority w:val="99"/>
    <w:rsid w:val="00B35230"/>
    <w:rPr>
      <w:rFonts w:ascii="Times New Roman" w:hAnsi="Times New Roman"/>
      <w:sz w:val="24"/>
      <w:lang w:val="en-GB"/>
    </w:rPr>
  </w:style>
  <w:style w:type="paragraph" w:styleId="Footer">
    <w:name w:val="footer"/>
    <w:basedOn w:val="Normal"/>
    <w:link w:val="FooterChar"/>
    <w:uiPriority w:val="99"/>
    <w:unhideWhenUsed/>
    <w:rsid w:val="00B35230"/>
    <w:pPr>
      <w:tabs>
        <w:tab w:val="center" w:pos="4819"/>
        <w:tab w:val="right" w:pos="9638"/>
      </w:tabs>
    </w:pPr>
  </w:style>
  <w:style w:type="character" w:customStyle="1" w:styleId="FooterChar">
    <w:name w:val="Footer Char"/>
    <w:basedOn w:val="DefaultParagraphFont"/>
    <w:link w:val="Footer"/>
    <w:uiPriority w:val="99"/>
    <w:rsid w:val="00B35230"/>
    <w:rPr>
      <w:rFonts w:ascii="Times New Roman" w:hAnsi="Times New Roman"/>
      <w:sz w:val="24"/>
      <w:lang w:val="en-GB"/>
    </w:rPr>
  </w:style>
  <w:style w:type="paragraph" w:styleId="BalloonText">
    <w:name w:val="Balloon Text"/>
    <w:basedOn w:val="Normal"/>
    <w:link w:val="BalloonTextChar"/>
    <w:uiPriority w:val="99"/>
    <w:semiHidden/>
    <w:unhideWhenUsed/>
    <w:rsid w:val="00B35230"/>
    <w:rPr>
      <w:rFonts w:ascii="Tahoma" w:hAnsi="Tahoma" w:cs="Tahoma"/>
      <w:sz w:val="16"/>
      <w:szCs w:val="16"/>
    </w:rPr>
  </w:style>
  <w:style w:type="character" w:customStyle="1" w:styleId="BalloonTextChar">
    <w:name w:val="Balloon Text Char"/>
    <w:basedOn w:val="DefaultParagraphFont"/>
    <w:link w:val="BalloonText"/>
    <w:uiPriority w:val="99"/>
    <w:semiHidden/>
    <w:rsid w:val="00B35230"/>
    <w:rPr>
      <w:rFonts w:ascii="Tahoma" w:hAnsi="Tahoma" w:cs="Tahoma"/>
      <w:sz w:val="16"/>
      <w:szCs w:val="16"/>
      <w:lang w:val="en-GB"/>
    </w:rPr>
  </w:style>
  <w:style w:type="table" w:customStyle="1" w:styleId="TableGrid1">
    <w:name w:val="Table Grid1"/>
    <w:basedOn w:val="TableNormal"/>
    <w:next w:val="TableGrid"/>
    <w:uiPriority w:val="59"/>
    <w:rsid w:val="00F77F63"/>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141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33"/>
    <w:rPr>
      <w:rFonts w:ascii="Times New Roman" w:hAnsi="Times New Roman"/>
      <w:sz w:val="24"/>
      <w:lang w:val="en-GB"/>
    </w:rPr>
  </w:style>
  <w:style w:type="paragraph" w:styleId="Heading1">
    <w:name w:val="heading 1"/>
    <w:basedOn w:val="Normal"/>
    <w:next w:val="Normal"/>
    <w:link w:val="Heading1Char"/>
    <w:uiPriority w:val="9"/>
    <w:qFormat/>
    <w:rsid w:val="00BF6A36"/>
    <w:pPr>
      <w:keepNext/>
      <w:keepLines/>
      <w:ind w:firstLine="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C1B33"/>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B33"/>
    <w:rPr>
      <w:rFonts w:ascii="Times New Roman" w:eastAsiaTheme="majorEastAsia" w:hAnsi="Times New Roman" w:cstheme="majorBidi"/>
      <w:b/>
      <w:bCs/>
      <w:color w:val="000000" w:themeColor="text1"/>
      <w:sz w:val="24"/>
      <w:szCs w:val="26"/>
      <w:lang w:val="en-GB"/>
    </w:rPr>
  </w:style>
  <w:style w:type="character" w:customStyle="1" w:styleId="Heading1Char">
    <w:name w:val="Heading 1 Char"/>
    <w:basedOn w:val="DefaultParagraphFont"/>
    <w:link w:val="Heading1"/>
    <w:uiPriority w:val="9"/>
    <w:rsid w:val="00BF6A36"/>
    <w:rPr>
      <w:rFonts w:ascii="Times New Roman" w:eastAsiaTheme="majorEastAsia" w:hAnsi="Times New Roman" w:cstheme="majorBidi"/>
      <w:b/>
      <w:bCs/>
      <w:color w:val="000000" w:themeColor="text1"/>
      <w:sz w:val="24"/>
      <w:szCs w:val="28"/>
      <w:lang w:val="en-GB"/>
    </w:rPr>
  </w:style>
  <w:style w:type="table" w:styleId="TableGrid">
    <w:name w:val="Table Grid"/>
    <w:basedOn w:val="TableNormal"/>
    <w:uiPriority w:val="59"/>
    <w:rsid w:val="004A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E363B"/>
    <w:rPr>
      <w:sz w:val="20"/>
      <w:szCs w:val="20"/>
    </w:rPr>
  </w:style>
  <w:style w:type="character" w:customStyle="1" w:styleId="EndnoteTextChar">
    <w:name w:val="Endnote Text Char"/>
    <w:basedOn w:val="DefaultParagraphFont"/>
    <w:link w:val="EndnoteText"/>
    <w:uiPriority w:val="99"/>
    <w:semiHidden/>
    <w:rsid w:val="00FE363B"/>
    <w:rPr>
      <w:rFonts w:ascii="Times New Roman" w:hAnsi="Times New Roman"/>
      <w:sz w:val="20"/>
      <w:szCs w:val="20"/>
      <w:lang w:val="en-GB"/>
    </w:rPr>
  </w:style>
  <w:style w:type="character" w:styleId="EndnoteReference">
    <w:name w:val="endnote reference"/>
    <w:basedOn w:val="DefaultParagraphFont"/>
    <w:uiPriority w:val="99"/>
    <w:semiHidden/>
    <w:unhideWhenUsed/>
    <w:rsid w:val="00FE363B"/>
    <w:rPr>
      <w:vertAlign w:val="superscript"/>
    </w:rPr>
  </w:style>
  <w:style w:type="paragraph" w:styleId="Header">
    <w:name w:val="header"/>
    <w:basedOn w:val="Normal"/>
    <w:link w:val="HeaderChar"/>
    <w:uiPriority w:val="99"/>
    <w:unhideWhenUsed/>
    <w:rsid w:val="00B35230"/>
    <w:pPr>
      <w:tabs>
        <w:tab w:val="center" w:pos="4819"/>
        <w:tab w:val="right" w:pos="9638"/>
      </w:tabs>
    </w:pPr>
  </w:style>
  <w:style w:type="character" w:customStyle="1" w:styleId="HeaderChar">
    <w:name w:val="Header Char"/>
    <w:basedOn w:val="DefaultParagraphFont"/>
    <w:link w:val="Header"/>
    <w:uiPriority w:val="99"/>
    <w:rsid w:val="00B35230"/>
    <w:rPr>
      <w:rFonts w:ascii="Times New Roman" w:hAnsi="Times New Roman"/>
      <w:sz w:val="24"/>
      <w:lang w:val="en-GB"/>
    </w:rPr>
  </w:style>
  <w:style w:type="paragraph" w:styleId="Footer">
    <w:name w:val="footer"/>
    <w:basedOn w:val="Normal"/>
    <w:link w:val="FooterChar"/>
    <w:uiPriority w:val="99"/>
    <w:unhideWhenUsed/>
    <w:rsid w:val="00B35230"/>
    <w:pPr>
      <w:tabs>
        <w:tab w:val="center" w:pos="4819"/>
        <w:tab w:val="right" w:pos="9638"/>
      </w:tabs>
    </w:pPr>
  </w:style>
  <w:style w:type="character" w:customStyle="1" w:styleId="FooterChar">
    <w:name w:val="Footer Char"/>
    <w:basedOn w:val="DefaultParagraphFont"/>
    <w:link w:val="Footer"/>
    <w:uiPriority w:val="99"/>
    <w:rsid w:val="00B35230"/>
    <w:rPr>
      <w:rFonts w:ascii="Times New Roman" w:hAnsi="Times New Roman"/>
      <w:sz w:val="24"/>
      <w:lang w:val="en-GB"/>
    </w:rPr>
  </w:style>
  <w:style w:type="paragraph" w:styleId="BalloonText">
    <w:name w:val="Balloon Text"/>
    <w:basedOn w:val="Normal"/>
    <w:link w:val="BalloonTextChar"/>
    <w:uiPriority w:val="99"/>
    <w:semiHidden/>
    <w:unhideWhenUsed/>
    <w:rsid w:val="00B35230"/>
    <w:rPr>
      <w:rFonts w:ascii="Tahoma" w:hAnsi="Tahoma" w:cs="Tahoma"/>
      <w:sz w:val="16"/>
      <w:szCs w:val="16"/>
    </w:rPr>
  </w:style>
  <w:style w:type="character" w:customStyle="1" w:styleId="BalloonTextChar">
    <w:name w:val="Balloon Text Char"/>
    <w:basedOn w:val="DefaultParagraphFont"/>
    <w:link w:val="BalloonText"/>
    <w:uiPriority w:val="99"/>
    <w:semiHidden/>
    <w:rsid w:val="00B35230"/>
    <w:rPr>
      <w:rFonts w:ascii="Tahoma" w:hAnsi="Tahoma" w:cs="Tahoma"/>
      <w:sz w:val="16"/>
      <w:szCs w:val="16"/>
      <w:lang w:val="en-GB"/>
    </w:rPr>
  </w:style>
  <w:style w:type="table" w:customStyle="1" w:styleId="TableGrid1">
    <w:name w:val="Table Grid1"/>
    <w:basedOn w:val="TableNormal"/>
    <w:next w:val="TableGrid"/>
    <w:uiPriority w:val="59"/>
    <w:rsid w:val="00F77F63"/>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141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26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ionfi.com/evx-minchiate-export-tuscany"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trionfi.com/trumps-trionfi-tarots"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807C-A922-4D49-AE15-8BA6A731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2025</Words>
  <Characters>11549</Characters>
  <Application>Microsoft Office Word</Application>
  <DocSecurity>0</DocSecurity>
  <Lines>96</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Pratesi</dc:creator>
  <cp:lastModifiedBy>franco pratesi</cp:lastModifiedBy>
  <cp:revision>2</cp:revision>
  <cp:lastPrinted>2013-05-13T04:11:00Z</cp:lastPrinted>
  <dcterms:created xsi:type="dcterms:W3CDTF">2013-11-24T15:58:00Z</dcterms:created>
  <dcterms:modified xsi:type="dcterms:W3CDTF">2013-11-24T15:58:00Z</dcterms:modified>
</cp:coreProperties>
</file>